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4"/>
        </w:rPr>
        <w:t>Employee handbook template</w:t>
      </w:r>
    </w:p>
    <w:p>
      <w:r>
        <w:rPr>
          <w:color w:val="55605A"/>
          <w:sz w:val="19"/>
        </w:rPr>
        <w:t>An employee handbook tells staff what the company expects of them and what they can expect from it (hours, pay, leave, conduct, safety, how complaints are handled) in one document each person signs for. It is not the contract of employment and should say so. It is also not the training manual: it holds the rules, not the how-to. The template below is written out for a 40-person food-production site; the law notes tell you which parts change by country and which parts you cannot leave out.</w:t>
      </w:r>
    </w:p>
    <w:p>
      <w:r>
        <w:rPr>
          <w:i/>
          <w:color w:val="55605A"/>
          <w:sz w:val="19"/>
        </w:rPr>
        <w:t>How to use this file: each section has a grey note saying what goes in it and why, then the section filled in for an example site (Written for "Northfield Foods", a 40-person bakery and packing site with a day and a night shift. Change the names, the hours and the leave numbers.) Replace the example text with your own and delete the grey notes before you issue it.</w:t>
      </w:r>
    </w:p>
    <w:p>
      <w:pPr>
        <w:pStyle w:val="Heading1"/>
      </w:pPr>
      <w:r>
        <w:rPr>
          <w:color w:val="14532D"/>
        </w:rPr>
        <w:t>1. Welcome and how to use this handbook</w:t>
      </w:r>
    </w:p>
    <w:p>
      <w:r>
        <w:rPr>
          <w:i/>
          <w:color w:val="55605A"/>
          <w:sz w:val="18"/>
        </w:rPr>
        <w:t>What goes here: Two short paragraphs: what the handbook is for, that it is not a contract, that it can change, and which document wins if two disagree.  Why: In the US, a handbook without a clear not-a-contract statement has been held to create contractual promises (progressive discipline, job security). In the UK the contract and the written statement of particulars are separate documents by law; the handbook can be referred to but its disciplinary rules are usually kept non-contractual on purpose.</w:t>
      </w:r>
    </w:p>
    <w:p>
      <w:pPr>
        <w:spacing w:after="80"/>
        <w:ind w:left="340"/>
      </w:pPr>
      <w:r>
        <w:rPr>
          <w:b/>
        </w:rPr>
        <w:t xml:space="preserve">This handbook explains how we work at Northfield Foods: </w:t>
      </w:r>
      <w:r>
        <w:t>the rules we all follow, what you can expect from us, and who to go to when something is wrong. Read it in your first week and ask your supervisor about anything that is unclear. It is available in English, Spanish and Polish; the English version is the one we go by if the translations differ.</w:t>
      </w:r>
    </w:p>
    <w:p>
      <w:pPr>
        <w:spacing w:after="80"/>
        <w:ind w:left="340"/>
      </w:pPr>
      <w:r>
        <w:t>This handbook is not a contract of employment and does not promise employment for any length of time. We may change it; when we do, we will tell you and ask you to sign for the new version. If anything here differs from your signed contract or from the law, the contract and the law apply.</w:t>
      </w:r>
    </w:p>
    <w:p>
      <w:pPr>
        <w:pStyle w:val="Heading1"/>
      </w:pPr>
      <w:r>
        <w:rPr>
          <w:color w:val="14532D"/>
        </w:rPr>
        <w:t>2. Who we are</w:t>
      </w:r>
    </w:p>
    <w:p>
      <w:r>
        <w:rPr>
          <w:i/>
          <w:color w:val="55605A"/>
          <w:sz w:val="18"/>
        </w:rPr>
        <w:t>What goes here: One paragraph on what the company does and the three things it cares about in practice. No mission-statement language.  Why: A new hire reads this to understand what gets people promoted and what gets them fired. If it says "integrity, excellence, teamwork" it says nothing.</w:t>
      </w:r>
    </w:p>
    <w:p>
      <w:pPr>
        <w:spacing w:after="80"/>
        <w:ind w:left="340"/>
      </w:pPr>
      <w:r>
        <w:t>We bake and pack bread and rolls for 60 supermarkets in the region, 364 days a year. Three things matter here more than anything: the product is safe to eat, nobody gets hurt, and the trucks leave on time. In that order. If you ever have to choose between them, choose in that order and tell your supervisor.</w:t>
      </w:r>
    </w:p>
    <w:p>
      <w:pPr>
        <w:pStyle w:val="Heading1"/>
      </w:pPr>
      <w:r>
        <w:rPr>
          <w:color w:val="14532D"/>
        </w:rPr>
        <w:t>3. Employment basics</w:t>
      </w:r>
    </w:p>
    <w:p>
      <w:r>
        <w:rPr>
          <w:i/>
          <w:color w:val="55605A"/>
          <w:sz w:val="18"/>
        </w:rPr>
        <w:t>What goes here: Employment status and classifications (full-time, part-time, temporary, agency; exempt and non-exempt in the US), probation, the documents required to start, background checks if used, and the at-will statement in the US.  Why: US: FLSA classification determines overtime; I-9 verification is required within three business days of the start. UK: a written statement of particulars is a day-one right under the Employment Rights Act 1996 s.1, and it is a separate document, not the handbook. India: for establishments covered by the Industrial Employment (Standing Orders) Act 1946 (100 or more workers, 50 in some states), the classification of workers and the conditions of employment must be in certified standing orders.</w:t>
      </w:r>
    </w:p>
    <w:p>
      <w:pPr>
        <w:spacing w:after="80"/>
        <w:ind w:left="340"/>
      </w:pPr>
      <w:r>
        <w:t>Everyone starts on a 90-day introductory period. During it, either of us can end the employment with one week's notice. Passing it does not change your at-will status [US] / Your employment is subject to the terms of your signed contract [UK/India].</w:t>
      </w:r>
    </w:p>
    <w:p>
      <w:pPr>
        <w:spacing w:after="80"/>
        <w:ind w:left="340"/>
      </w:pPr>
      <w:r>
        <w:t>Full-time means 36 hours or more a week; part-time is under 36. Hourly (non-exempt) staff are paid for every hour worked and receive overtime as described in section 6. Agency staff follow this handbook while on site but are employed by the agency.</w:t>
      </w:r>
    </w:p>
    <w:p>
      <w:pPr>
        <w:spacing w:after="80"/>
        <w:ind w:left="340"/>
      </w:pPr>
      <w:r>
        <w:t>Before your first shift we check and record your right to work. We cannot let you start without it.</w:t>
      </w:r>
    </w:p>
    <w:p>
      <w:pPr>
        <w:pStyle w:val="Heading1"/>
      </w:pPr>
      <w:r>
        <w:rPr>
          <w:color w:val="14532D"/>
        </w:rPr>
        <w:t>4. Equal opportunity, harassment and bullying</w:t>
      </w:r>
    </w:p>
    <w:p>
      <w:r>
        <w:rPr>
          <w:i/>
          <w:color w:val="55605A"/>
          <w:sz w:val="18"/>
        </w:rPr>
        <w:t>What goes here: The company's position in plain words, the protected characteristics as the law names them, what harassment looks like on this site, two named routes to report it (one that bypasses the supervisor), what happens next, and the no-retaliation promise.  Why: US: Title VII, ADA and ADEA apply at 15 or 20 employees; the EEOC's affirmative-defence standard expects a policy, a complaint route and training. UK: Equality Act 2010; from October 2024 employers have a duty to take reasonable steps to prevent sexual harassment. India: the POSH Act 2013 requires every workplace with 10 or more employees to have an Internal Committee and to display the policy and the committee's names.</w:t>
      </w:r>
    </w:p>
    <w:p>
      <w:pPr>
        <w:spacing w:after="80"/>
        <w:ind w:left="340"/>
      </w:pPr>
      <w:r>
        <w:t>We hire, pay, promote and discipline on the basis of the job, not on race, colour, religion, sex, pregnancy, sexual orientation, gender identity, national origin, age, disability, genetic information, or any other characteristic protected by law [US list; replace with the Equality Act 2010 protected characteristics in the UK].</w:t>
      </w:r>
    </w:p>
    <w:p>
      <w:pPr>
        <w:spacing w:after="80"/>
        <w:ind w:left="340"/>
      </w:pPr>
      <w:r>
        <w:t>Harassment is unwelcome conduct based on one of those characteristics that makes it harder for someone to do their job: comments, jokes, pictures, touching, messages. It includes conduct by customers, drivers and contractors. It is not allowed here, from anyone, at any level.</w:t>
      </w:r>
    </w:p>
    <w:p>
      <w:pPr>
        <w:spacing w:after="80"/>
        <w:ind w:left="340"/>
      </w:pPr>
      <w:r>
        <w:rPr>
          <w:b/>
        </w:rPr>
        <w:t xml:space="preserve">If it happens to you or you see it: </w:t>
      </w:r>
      <w:r>
        <w:t>tell your supervisor, or if you would rather not, tell Priya Nair (HR, ext. 204) or Tom Wills (General Manager, ext. 201) directly, in person or by text. We will look into it within five working days, keep it as private as the investigation allows, and tell you the outcome. Nobody will be treated worse for raising a complaint in good faith or for taking part in an investigation. [India: add the Internal Committee members' names and the POSH complaint process.]</w:t>
      </w:r>
    </w:p>
    <w:p>
      <w:pPr>
        <w:pStyle w:val="Heading1"/>
      </w:pPr>
      <w:r>
        <w:rPr>
          <w:color w:val="14532D"/>
        </w:rPr>
        <w:t>5. Hours, shifts, attendance and breaks</w:t>
      </w:r>
    </w:p>
    <w:p>
      <w:r>
        <w:rPr>
          <w:i/>
          <w:color w:val="55605A"/>
          <w:sz w:val="18"/>
        </w:rPr>
        <w:t>What goes here: Shift times, how rotas are published, clocking in and out, what counts as late, how to report absence (by when, to whom, by what method), break lengths and when they are taken, and the rule on working through breaks.  Why: Meal and rest breaks are state law in the US (California, Washington, Oregon and others set specific rules; federal law sets none). UK: Working Time Regulations 1998: 20 minutes uninterrupted when the day is over six hours. India: Factories Act 1948 s.55: at least 30 minutes after no more than five hours of work.</w:t>
      </w:r>
    </w:p>
    <w:p>
      <w:pPr>
        <w:spacing w:after="80"/>
        <w:ind w:left="340"/>
      </w:pPr>
      <w:r>
        <w:t>Day shift is 6:00 to 14:30; night shift 22:00 to 6:30. Rotas are posted on the board and in the app by Thursday for the following week. Clock in at the time clock by the locker room, in uniform, no more than 5 minutes before your shift; clock out at the end. Clocking in for someone else is gross misconduct.</w:t>
      </w:r>
    </w:p>
    <w:p>
      <w:pPr>
        <w:spacing w:after="80"/>
        <w:ind w:left="340"/>
      </w:pPr>
      <w:r>
        <w:t>You are late at 6:01. Three lates in a month is a conversation with your supervisor; six is a written warning.</w:t>
      </w:r>
    </w:p>
    <w:p>
      <w:pPr>
        <w:spacing w:after="80"/>
        <w:ind w:left="340"/>
      </w:pPr>
      <w:r>
        <w:t>If you cannot come in, phone the shift line (555-0142) at least two hours before the shift starts. A text to a colleague is not notice. Two shifts missed without contact and we will treat the job as abandoned unless there is a reason you could not call.</w:t>
      </w:r>
    </w:p>
    <w:p>
      <w:pPr>
        <w:spacing w:after="80"/>
        <w:ind w:left="340"/>
      </w:pPr>
      <w:r>
        <w:rPr>
          <w:b/>
        </w:rPr>
        <w:t xml:space="preserve">Breaks: </w:t>
      </w:r>
      <w:r>
        <w:t>a paid 15-minute break after two hours and an unpaid 30-minute meal break after four; night shift takes the meal break at 2:00. Breaks are taken away from the line. If you are asked to work through a break, you are paid for it. Tell your supervisor it happened.</w:t>
      </w:r>
    </w:p>
    <w:p>
      <w:pPr>
        <w:pStyle w:val="Heading1"/>
      </w:pPr>
      <w:r>
        <w:rPr>
          <w:color w:val="14532D"/>
        </w:rPr>
        <w:t>6. Pay</w:t>
      </w:r>
    </w:p>
    <w:p>
      <w:r>
        <w:rPr>
          <w:i/>
          <w:color w:val="55605A"/>
          <w:sz w:val="18"/>
        </w:rPr>
        <w:t>What goes here: Pay day and method, how hours are recorded and corrected, overtime rate and who authorises it, shift premiums, deductions, what to do about a mistake, and the no-pay-for-no-clock rule stated carefully.  Why: US: FLSA overtime at 1.5× over 40 hours in a week for non-exempt staff; deductions that drop pay below minimum wage are prohibited. UK: itemised payslips are a legal right; unlawful deductions are a frequent tribunal claim. India: Factories Act s.59: overtime at twice the ordinary rate beyond 9 hours a day or 48 a week; Payment of Wages Act limits deductions.</w:t>
      </w:r>
    </w:p>
    <w:p>
      <w:pPr>
        <w:spacing w:after="80"/>
        <w:ind w:left="340"/>
      </w:pPr>
      <w:r>
        <w:t>You are paid every second Friday by bank transfer, for the two weeks ending the previous Sunday. Your payslip shows hours, rate, overtime, premiums and every deduction.</w:t>
      </w:r>
    </w:p>
    <w:p>
      <w:pPr>
        <w:spacing w:after="80"/>
        <w:ind w:left="340"/>
      </w:pPr>
      <w:r>
        <w:t>Overtime is paid at 1.5 times your hourly rate for hours over 40 in the week [US] / at the rate in your contract [UK] / at twice the ordinary rate beyond 9 hours a day or 48 a week [India]. Overtime must be agreed by your supervisor before you work it. If you work it anyway, you are still paid for it. Night shift carries a $1.50 an hour premium.</w:t>
      </w:r>
    </w:p>
    <w:p>
      <w:pPr>
        <w:spacing w:after="80"/>
        <w:ind w:left="340"/>
      </w:pPr>
      <w:r>
        <w:t>If you forget to clock, tell your supervisor the same day; the correction form is by the time clock. If your pay is wrong, tell Priya in HR within a week and we will fix it on the next run or earlier.</w:t>
      </w:r>
    </w:p>
    <w:p>
      <w:pPr>
        <w:pStyle w:val="Heading1"/>
      </w:pPr>
      <w:r>
        <w:rPr>
          <w:color w:val="14532D"/>
        </w:rPr>
        <w:t>7. Leave and time off</w:t>
      </w:r>
    </w:p>
    <w:p>
      <w:r>
        <w:rPr>
          <w:i/>
          <w:color w:val="55605A"/>
          <w:sz w:val="18"/>
        </w:rPr>
        <w:t>What goes here: Vacation or annual leave (amount, how it accrues, how to book, carry-over), sick leave, public holidays, parental and family leave, jury service, bereavement, unpaid leave. Each with the number and the booking rule.  Why: UK: 5.6 weeks' paid annual leave is statutory; Statutory Sick Pay from day 1 from April 2026. US: no federal paid leave; paid sick leave is required by 18+ states and many cities and changes yearly; FMLA unpaid leave at 50 employees. India: earned leave under the Factories Act (one day per 20 days worked) and state Shops and Establishments Acts; maternity leave 26 weeks under the Maternity Benefit Act.</w:t>
      </w:r>
    </w:p>
    <w:p>
      <w:pPr>
        <w:spacing w:after="80"/>
        <w:ind w:left="340"/>
      </w:pPr>
      <w:r>
        <w:rPr>
          <w:b/>
        </w:rPr>
        <w:t xml:space="preserve">Vacation: </w:t>
      </w:r>
      <w:r>
        <w:t>15 days a year, accruing at 1.25 days a month, plus the public holidays on the list in the appendix. Book it in the app at least two weeks ahead; December 15 to January 2 is first-come, limited to two people per shift. Up to 5 days carry over to March 31.</w:t>
      </w:r>
    </w:p>
    <w:p>
      <w:pPr>
        <w:spacing w:after="80"/>
        <w:ind w:left="340"/>
      </w:pPr>
      <w:r>
        <w:rPr>
          <w:b/>
        </w:rPr>
        <w:t xml:space="preserve">Sick leave: </w:t>
      </w:r>
      <w:r>
        <w:t>6 paid days a year [adjust to your state or country]. Phone the shift line before the shift. After three days we may ask for a doctor's note. Sick leave is for when you are sick; using it as extra vacation is a conduct matter.</w:t>
      </w:r>
    </w:p>
    <w:p>
      <w:pPr>
        <w:spacing w:after="80"/>
        <w:ind w:left="340"/>
      </w:pPr>
      <w:r>
        <w:t>Family and parental leave, jury service and bereavement leave (3 paid days for immediate family) are in the leave policy on the noticeboard and in the app; talk to HR as early as you can.</w:t>
      </w:r>
    </w:p>
    <w:p>
      <w:pPr>
        <w:pStyle w:val="Heading1"/>
      </w:pPr>
      <w:r>
        <w:rPr>
          <w:color w:val="14532D"/>
        </w:rPr>
        <w:t>8. Health and safety</w:t>
      </w:r>
    </w:p>
    <w:p>
      <w:r>
        <w:rPr>
          <w:i/>
          <w:color w:val="55605A"/>
          <w:sz w:val="18"/>
        </w:rPr>
        <w:t>What goes here: The non-negotiable rules for this site, the duty to follow procedures and wear PPE, how to report an injury, a near miss and an unsafe condition (by when), the right to stop unsafe work, drugs and alcohol, and that nobody is punished for reporting.  Why: OSHA 11(c) and the Mine Act protect workers who report hazards; the UK Health and Safety at Work Act s.7 puts a duty on employees to take reasonable care; India's Factories Act s.111 does the same. Language matters: OSHA expects safety training in a language and vocabulary the worker understands.</w:t>
      </w:r>
    </w:p>
    <w:p>
      <w:pPr>
        <w:spacing w:after="80"/>
        <w:ind w:left="340"/>
      </w:pPr>
      <w:r>
        <w:rPr>
          <w:b/>
        </w:rPr>
        <w:t xml:space="preserve">The five rules that get people hurt here when broken: </w:t>
      </w:r>
      <w:r>
        <w:t>nobody reaches into a running machine; lockout before cleaning or clearing a jam; hairnets, safety shoes and cut-resistant gloves at the slicer every time; walk, do not run, in the packing hall; report every injury and near miss before the end of your shift.</w:t>
      </w:r>
    </w:p>
    <w:p>
      <w:pPr>
        <w:spacing w:after="80"/>
        <w:ind w:left="340"/>
      </w:pPr>
      <w:r>
        <w:t>If something looks unsafe, stop and tell your supervisor. You will never be in trouble for stopping a job you believe is unsafe. If the supervisor disagrees, the safety lead or the GM decides, and the job does not restart until they do.</w:t>
      </w:r>
    </w:p>
    <w:p>
      <w:pPr>
        <w:spacing w:after="80"/>
        <w:ind w:left="340"/>
      </w:pPr>
      <w:r>
        <w:t>Report every injury, however small, to your supervisor before you go home, and fill in the accident book. Near misses go on the yellow cards by the clock, no name needed. We read every one.</w:t>
      </w:r>
    </w:p>
    <w:p>
      <w:pPr>
        <w:spacing w:after="80"/>
        <w:ind w:left="340"/>
      </w:pPr>
      <w:r>
        <w:t>Alcohol and drugs that affect your ability to work are not permitted on site or before a shift. Prescription medicines that make you drowsy: tell your supervisor so we can move you off the machines.</w:t>
      </w:r>
    </w:p>
    <w:p>
      <w:pPr>
        <w:pStyle w:val="Heading1"/>
      </w:pPr>
      <w:r>
        <w:rPr>
          <w:color w:val="14532D"/>
        </w:rPr>
        <w:t>9. Conduct and standards</w:t>
      </w:r>
    </w:p>
    <w:p>
      <w:r>
        <w:rPr>
          <w:i/>
          <w:color w:val="55605A"/>
          <w:sz w:val="18"/>
        </w:rPr>
        <w:t>What goes here: Uniform and hygiene, phones on the floor, smoking and vaping, confidentiality, social media, gifts and conflicts of interest, company property, visitors. Written as rules with reasons, not values.  Why: Rules without reasons are negotiated; rules with reasons are followed. For a food site the hygiene and phone rules are also audit requirements (BRCGS, SQF).</w:t>
      </w:r>
    </w:p>
    <w:p>
      <w:pPr>
        <w:spacing w:after="80"/>
        <w:ind w:left="340"/>
      </w:pPr>
      <w:r>
        <w:t>Phones stay in your locker during the shift. The production hall and the warehouse are phone-free because a person looking at a phone does not see the forklift. Emergency calls come through the shift line and we will fetch you.</w:t>
      </w:r>
    </w:p>
    <w:p>
      <w:pPr>
        <w:spacing w:after="80"/>
        <w:ind w:left="340"/>
      </w:pPr>
      <w:r>
        <w:rPr>
          <w:b/>
        </w:rPr>
        <w:t xml:space="preserve">Uniform: </w:t>
      </w:r>
      <w:r>
        <w:t>clean company top, dark trousers, safety shoes; hairnet and beard snood in production; no jewellery except a plain band; no nail varnish or false nails in production (they end up in the product).</w:t>
      </w:r>
    </w:p>
    <w:p>
      <w:pPr>
        <w:spacing w:after="80"/>
        <w:ind w:left="340"/>
      </w:pPr>
      <w:r>
        <w:t>What you learn here about our customers, prices, recipes and staff stays here. You may say where you work online; you may not post pictures from the production floor or comment on customers or colleagues.</w:t>
      </w:r>
    </w:p>
    <w:p>
      <w:pPr>
        <w:pStyle w:val="Heading1"/>
      </w:pPr>
      <w:r>
        <w:rPr>
          <w:color w:val="14532D"/>
        </w:rPr>
        <w:t>10. Technology, monitoring and personal data</w:t>
      </w:r>
    </w:p>
    <w:p>
      <w:r>
        <w:rPr>
          <w:i/>
          <w:color w:val="55605A"/>
          <w:sz w:val="18"/>
        </w:rPr>
        <w:t>What goes here: Company devices and accounts, acceptable use, what is monitored (CCTV, time clock, scanners, vehicle trackers) and why, and where the privacy notice is.  Why: UK and EU: monitoring needs a lawful basis and a privacy notice; CCTV in a workplace must be signed and proportionate. US: state laws (Connecticut, Delaware, New York) require written notice of electronic monitoring. India: the DPDP Act 2023 applies to employee data.</w:t>
      </w:r>
    </w:p>
    <w:p>
      <w:pPr>
        <w:spacing w:after="80"/>
        <w:ind w:left="340"/>
      </w:pPr>
      <w:r>
        <w:t>There is CCTV in the production hall, the warehouse, the yard and the car park, but not in the locker rooms, toilets or break room. It is there for safety and security and is kept for 30 days. Your scanner and the time clock record what you do and when; that data is used for pay, for productivity figures and, if needed, in an investigation. The full privacy notice is in the app and on the HR noticeboard.</w:t>
      </w:r>
    </w:p>
    <w:p>
      <w:pPr>
        <w:pStyle w:val="Heading1"/>
      </w:pPr>
      <w:r>
        <w:rPr>
          <w:color w:val="14532D"/>
        </w:rPr>
        <w:t>11. Discipline and grievance</w:t>
      </w:r>
    </w:p>
    <w:p>
      <w:r>
        <w:rPr>
          <w:i/>
          <w:color w:val="55605A"/>
          <w:sz w:val="18"/>
        </w:rPr>
        <w:t>What goes here: The steps (informal, first written, final written, dismissal), what gross misconduct means here with examples, the right to be accompanied, how to appeal, and how to raise a grievance, each with a timescale.  Why: UK: the Acas Code of Practice on disciplinary and grievance procedures; an unreasonable failure to follow it can raise a tribunal award by up to 25%, and the right to be accompanied is statutory. US: whatever process the handbook promises becomes the process the company is held to, so promise only what every manager will actually do.</w:t>
      </w:r>
    </w:p>
    <w:p>
      <w:pPr>
        <w:spacing w:after="80"/>
        <w:ind w:left="340"/>
      </w:pPr>
      <w:r>
        <w:t>Most problems are fixed with a conversation. When that is not enough, the steps are: a first written warning (on file 6 months), a final written warning (12 months), then dismissal. We can start at any step depending on how serious the matter is. Before any warning you will be told what the concern is, given the evidence, invited to a meeting with notice, and can bring a colleague [UK: or a trade union representative]. You can appeal any warning in writing within 5 working days to the GM.</w:t>
      </w:r>
    </w:p>
    <w:p>
      <w:pPr>
        <w:spacing w:after="80"/>
        <w:ind w:left="340"/>
      </w:pPr>
      <w:r>
        <w:rPr>
          <w:b/>
        </w:rPr>
        <w:t xml:space="preserve">Gross misconduct means we may dismiss without notice: </w:t>
      </w:r>
      <w:r>
        <w:t>theft, violence or threats, deliberately breaking a safety rule that puts someone at risk, working under the influence, falsifying records (including clocking in for someone else), serious harassment.</w:t>
      </w:r>
    </w:p>
    <w:p>
      <w:pPr>
        <w:spacing w:after="80"/>
        <w:ind w:left="340"/>
      </w:pPr>
      <w:r>
        <w:t>If you have a complaint about your work, your pay, or how you have been treated, raise it with your supervisor. If that is not possible or does not resolve it, put it in writing to HR; we will meet you within 5 working days and reply in writing within 10.</w:t>
      </w:r>
    </w:p>
    <w:p>
      <w:pPr>
        <w:pStyle w:val="Heading1"/>
      </w:pPr>
      <w:r>
        <w:rPr>
          <w:color w:val="14532D"/>
        </w:rPr>
        <w:t>12. Leaving</w:t>
      </w:r>
    </w:p>
    <w:p>
      <w:r>
        <w:rPr>
          <w:i/>
          <w:color w:val="55605A"/>
          <w:sz w:val="18"/>
        </w:rPr>
        <w:t>What goes here: Notice periods both ways, return of property and badge, final pay timing, how references are given, exit interview.  Why: Final pay timing is state law in the US (same day on termination in California; next payday elsewhere). UK: statutory minimum notice is one week per year of service up to 12. India: notice under the contract or standing orders; gratuity after five years under the Payment of Gratuity Act.</w:t>
      </w:r>
    </w:p>
    <w:p>
      <w:pPr>
        <w:spacing w:after="80"/>
        <w:ind w:left="340"/>
      </w:pPr>
      <w:r>
        <w:t>Please give two weeks' notice in writing; we give you the same, or more as the law or your contract requires. Return your badge, locker key, uniform and any equipment on your last day. Final pay, including unused vacation [where the law or policy pays it out], is paid on the next regular pay day [adjust to your state]. References confirm your dates and job title; we do not give opinions.</w:t>
      </w:r>
    </w:p>
    <w:p>
      <w:pPr>
        <w:pStyle w:val="Heading1"/>
      </w:pPr>
      <w:r>
        <w:rPr>
          <w:color w:val="14532D"/>
        </w:rPr>
        <w:t>13. Acknowledgement</w:t>
      </w:r>
    </w:p>
    <w:p>
      <w:r>
        <w:rPr>
          <w:i/>
          <w:color w:val="55605A"/>
          <w:sz w:val="18"/>
        </w:rPr>
        <w:t>What goes here: A page the employee signs: they received the handbook (version and date), they will read it, they know where to ask, and (in the US) they understand it is not a contract.  Why: The signed page is the evidence that the rule was known. Without it, a dismissal for breaking a handbook rule is a dismissal for breaking a rule the person can say they never saw.</w:t>
      </w:r>
    </w:p>
    <w:p>
      <w:pPr>
        <w:spacing w:after="80"/>
        <w:ind w:left="340"/>
      </w:pPr>
      <w:r>
        <w:t>I have received the Northfield Foods employee handbook, version 4 (March 2026), in a language I read. I understand I am expected to read it and follow it, that it may change, and that it is not a contract of employment. Name · Signature · Date · Witness (HR).</w:t>
      </w:r>
    </w:p>
    <w:p>
      <w:pPr>
        <w:pStyle w:val="Heading1"/>
      </w:pPr>
      <w:r>
        <w:rPr>
          <w:color w:val="14532D"/>
        </w:rPr>
        <w:t>Where employee handbooks go wrong</w:t>
      </w:r>
    </w:p>
    <w:p>
      <w:r>
        <w:rPr>
          <w:b/>
        </w:rPr>
        <w:t xml:space="preserve">It was downloaded from a 200-page corporate template. </w:t>
      </w:r>
      <w:r>
        <w:t>A 40-person site does not need a travel-expense policy with per-diem tables. The staff spot it, decide the whole thing is not about them, and stop reading. Write the sections you need, for the people you have, at the length they will read.</w:t>
      </w:r>
    </w:p>
    <w:p>
      <w:r>
        <w:rPr>
          <w:b/>
        </w:rPr>
        <w:t xml:space="preserve">The handbook says one thing and the managers do another. </w:t>
      </w:r>
      <w:r>
        <w:t>The handbook promises three written warnings; a supervisor dismisses after one. Now the dismissal is unfair in the UK and a breach-of-promise claim in the US, because the company wrote the rule and broke it. Either promise only what every manager will do, or train every manager to do what it says.</w:t>
      </w:r>
    </w:p>
    <w:p>
      <w:r>
        <w:rPr>
          <w:b/>
        </w:rPr>
        <w:t xml:space="preserve">It accidentally became a contract. </w:t>
      </w:r>
      <w:r>
        <w:t>"Permanent employee", "job security", "will only be dismissed for cause": in the US these phrases have cost employers at-will status. Keep the disclaimer in section 1, keep the language in the rest of the document consistent with it, and keep anything contractual in the contract.</w:t>
      </w:r>
    </w:p>
    <w:p>
      <w:r>
        <w:rPr>
          <w:b/>
        </w:rPr>
        <w:t xml:space="preserve">Nobody signed for it. </w:t>
      </w:r>
      <w:r>
        <w:t>An acknowledgement page that was never filled in is a handbook that was never issued, as far as a tribunal or the EEOC is concerned. Sign on day one, sign again on every revision, file it.</w:t>
      </w:r>
    </w:p>
    <w:p>
      <w:r>
        <w:rPr>
          <w:b/>
        </w:rPr>
        <w:t xml:space="preserve">It is only in English. </w:t>
      </w:r>
      <w:r>
        <w:t>A rule the worker cannot read is not a rule they can follow, and in a safety case it is the employer's problem. Translate the handbook into the languages the crew reads, and the safety section first.</w:t>
      </w:r>
    </w:p>
    <w:p>
      <w:r>
        <w:rPr>
          <w:b/>
        </w:rPr>
        <w:t xml:space="preserve">The leave section is three years old. </w:t>
      </w:r>
      <w:r>
        <w:t>Paid sick leave law in the US changes in some state or city every year; UK statutory rates change every April. A handbook with the wrong numbers is worse than none, because people rely on it. Put a review date on it and keep it.</w:t>
      </w:r>
    </w:p>
    <w:p>
      <w:r>
        <w:rPr>
          <w:b/>
        </w:rPr>
        <w:t xml:space="preserve">It is being used as the training manual. </w:t>
      </w:r>
      <w:r>
        <w:t>The handbook says what the rules are. It cannot teach someone to run the slicer. Keep the how-to in SOPs and the training manual; keep the handbook short enough to read in an hour.</w:t>
      </w:r>
    </w:p>
    <w:p>
      <w:pPr>
        <w:pStyle w:val="Heading1"/>
      </w:pPr>
      <w:r>
        <w:rPr>
          <w:color w:val="14532D"/>
        </w:rPr>
        <w:t>Revision history</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F7D8"/>
          </w:tcPr>
          <w:p>
            <w:r/>
            <w:r>
              <w:rPr>
                <w:b/>
                <w:color w:val="14532D"/>
              </w:rPr>
              <w:t>Version</w:t>
            </w:r>
          </w:p>
        </w:tc>
        <w:tc>
          <w:tcPr>
            <w:tcW w:type="dxa" w:w="2550"/>
            <w:shd w:val="clear" w:color="auto" w:fill="E9F7D8"/>
          </w:tcPr>
          <w:p>
            <w:r/>
            <w:r>
              <w:rPr>
                <w:b/>
                <w:color w:val="14532D"/>
              </w:rPr>
              <w:t>Date</w:t>
            </w:r>
          </w:p>
        </w:tc>
        <w:tc>
          <w:tcPr>
            <w:tcW w:type="dxa" w:w="2550"/>
            <w:shd w:val="clear" w:color="auto" w:fill="E9F7D8"/>
          </w:tcPr>
          <w:p>
            <w:r/>
            <w:r>
              <w:rPr>
                <w:b/>
                <w:color w:val="14532D"/>
              </w:rPr>
              <w:t>What changed</w:t>
            </w:r>
          </w:p>
        </w:tc>
        <w:tc>
          <w:tcPr>
            <w:tcW w:type="dxa" w:w="2550"/>
            <w:shd w:val="clear" w:color="auto" w:fill="E9F7D8"/>
          </w:tcPr>
          <w:p>
            <w:r/>
            <w:r>
              <w:rPr>
                <w:b/>
                <w:color w:val="14532D"/>
              </w:rPr>
              <w:t>Approved by</w:t>
            </w:r>
          </w:p>
        </w:tc>
      </w:tr>
      <w:tr>
        <w:tc>
          <w:tcPr>
            <w:tcW w:type="dxa" w:w="2550"/>
          </w:tcPr>
          <w:p>
            <w:r>
              <w:t>1.0</w:t>
            </w:r>
          </w:p>
        </w:tc>
        <w:tc>
          <w:tcPr>
            <w:tcW w:type="dxa" w:w="2550"/>
          </w:tcPr>
          <w:p/>
        </w:tc>
        <w:tc>
          <w:tcPr>
            <w:tcW w:type="dxa" w:w="2550"/>
          </w:tcPr>
          <w:p>
            <w:r>
              <w:t>First issue</w:t>
            </w:r>
          </w:p>
        </w:tc>
        <w:tc>
          <w:tcPr>
            <w:tcW w:type="dxa" w:w="2550"/>
          </w:tcPr>
          <w:p/>
        </w:tc>
      </w:tr>
      <w:tr>
        <w:tc>
          <w:tcPr>
            <w:tcW w:type="dxa" w:w="2550"/>
          </w:tcPr>
          <w:p/>
        </w:tc>
        <w:tc>
          <w:tcPr>
            <w:tcW w:type="dxa" w:w="2550"/>
          </w:tcPr>
          <w:p/>
        </w:tc>
        <w:tc>
          <w:tcPr>
            <w:tcW w:type="dxa" w:w="2550"/>
          </w:tcPr>
          <w:p/>
        </w:tc>
        <w:tc>
          <w:tcPr>
            <w:tcW w:type="dxa" w:w="2550"/>
          </w:tcPr>
          <w:p/>
        </w:tc>
      </w:tr>
    </w:tbl>
    <w:sectPr w:rsidR="00FC693F" w:rsidRPr="0006063C" w:rsidSect="00034616">
      <w:footerReference w:type="default" r:id="rId9"/>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Employee handbook template by Vidkiwi · vidkiwi.com/employee-handbook-template/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 template</dc:title>
  <dc:subject/>
  <dc:creator>Vidkiwi</dc:creator>
  <cp:keywords/>
  <dc:description>Free employee handbook template with a filled-in example from vidkiwi.com</dc:description>
  <cp:lastModifiedBy>Vidkiwi</cp:lastModifiedBy>
  <cp:revision>1</cp:revision>
  <dcterms:created xsi:type="dcterms:W3CDTF">2013-12-23T23:15:00Z</dcterms:created>
  <dcterms:modified xsi:type="dcterms:W3CDTF">2013-12-23T23:15:00Z</dcterms:modified>
  <cp:category/>
</cp:coreProperties>
</file>