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rPr>
          <w:color w:val="14532D"/>
          <w:sz w:val="48"/>
        </w:rPr>
        <w:t>Warehouse SOP pack</w:t>
      </w:r>
    </w:p>
    <w:p>
      <w:r>
        <w:rPr>
          <w:i w:val="0"/>
        </w:rPr>
        <w:t>A warehouse SOP describes one step in the flow of goods — receiving a trailer, putting a pallet away, picking an order, loading a truck — plus the safety procedures that sit around them: dock safety, forklift checks, racking inspection. The five below cover the flow for a typical distribution operation from the receiving bay to the truck. Each one is short enough to put on the wall at the place it happens.</w:t>
      </w:r>
    </w:p>
    <w:p>
      <w:r>
        <w:rPr>
          <w:i/>
        </w:rPr>
        <w:t>These are general procedures. Your equipment, your products, your site rules and your local law come first — change the names, the limits and the forms to match, then have the right person approve each one before it is used.</w:t>
      </w:r>
    </w:p>
    <w:p>
      <w:pPr>
        <w:pStyle w:val="Heading1"/>
      </w:pPr>
      <w:r>
        <w:rPr>
          <w:color w:val="14532D"/>
        </w:rPr>
        <w:t>Which SOPs the operation needs</w:t>
      </w:r>
    </w:p>
    <w:tbl>
      <w:tblPr>
        <w:tblStyle w:val="TableGrid"/>
        <w:tblW w:type="auto" w:w="0"/>
        <w:tblLook w:firstColumn="1" w:firstRow="1" w:lastColumn="0" w:lastRow="0" w:noHBand="0" w:noVBand="1" w:val="04A0"/>
      </w:tblPr>
      <w:tblGrid>
        <w:gridCol w:w="2493"/>
        <w:gridCol w:w="2493"/>
        <w:gridCol w:w="2493"/>
        <w:gridCol w:w="2493"/>
      </w:tblGrid>
      <w:tr>
        <w:tc>
          <w:tcPr>
            <w:tcW w:type="dxa" w:w="2608"/>
            <w:shd w:val="clear" w:color="auto" w:fill="E9F7D8"/>
          </w:tcPr>
          <w:p>
            <w:r/>
            <w:r>
              <w:rPr>
                <w:b/>
                <w:color w:val="14532D"/>
              </w:rPr>
              <w:t>Procedure</w:t>
            </w:r>
          </w:p>
        </w:tc>
        <w:tc>
          <w:tcPr>
            <w:tcW w:type="dxa" w:w="2494"/>
            <w:shd w:val="clear" w:color="auto" w:fill="E9F7D8"/>
          </w:tcPr>
          <w:p>
            <w:r/>
            <w:r>
              <w:rPr>
                <w:b/>
                <w:color w:val="14532D"/>
              </w:rPr>
              <w:t>When</w:t>
            </w:r>
          </w:p>
        </w:tc>
        <w:tc>
          <w:tcPr>
            <w:tcW w:type="dxa" w:w="2268"/>
            <w:shd w:val="clear" w:color="auto" w:fill="E9F7D8"/>
          </w:tcPr>
          <w:p>
            <w:r/>
            <w:r>
              <w:rPr>
                <w:b/>
                <w:color w:val="14532D"/>
              </w:rPr>
              <w:t>Record</w:t>
            </w:r>
          </w:p>
        </w:tc>
        <w:tc>
          <w:tcPr>
            <w:tcW w:type="dxa" w:w="2268"/>
            <w:shd w:val="clear" w:color="auto" w:fill="E9F7D8"/>
          </w:tcPr>
          <w:p>
            <w:r/>
            <w:r>
              <w:rPr>
                <w:b/>
                <w:color w:val="14532D"/>
              </w:rPr>
              <w:t>Basis</w:t>
            </w:r>
          </w:p>
        </w:tc>
      </w:tr>
      <w:tr>
        <w:tc>
          <w:tcPr>
            <w:tcW w:type="dxa" w:w="2608"/>
          </w:tcPr>
          <w:p>
            <w:r>
              <w:t>Receiving</w:t>
            </w:r>
          </w:p>
        </w:tc>
        <w:tc>
          <w:tcPr>
            <w:tcW w:type="dxa" w:w="2494"/>
          </w:tcPr>
          <w:p>
            <w:r>
              <w:t>Every inbound trailer</w:t>
            </w:r>
          </w:p>
        </w:tc>
        <w:tc>
          <w:tcPr>
            <w:tcW w:type="dxa" w:w="2268"/>
          </w:tcPr>
          <w:p>
            <w:r>
              <w:t>Receiving log; GRN</w:t>
            </w:r>
          </w:p>
        </w:tc>
        <w:tc>
          <w:tcPr>
            <w:tcW w:type="dxa" w:w="2268"/>
          </w:tcPr>
          <w:p>
            <w:r>
              <w:t>Your WMS; carrier claims rules</w:t>
            </w:r>
          </w:p>
        </w:tc>
      </w:tr>
      <w:tr>
        <w:tc>
          <w:tcPr>
            <w:tcW w:type="dxa" w:w="2608"/>
          </w:tcPr>
          <w:p>
            <w:r>
              <w:t>Put-away</w:t>
            </w:r>
          </w:p>
        </w:tc>
        <w:tc>
          <w:tcPr>
            <w:tcW w:type="dxa" w:w="2494"/>
          </w:tcPr>
          <w:p>
            <w:r>
              <w:t>Every received pallet</w:t>
            </w:r>
          </w:p>
        </w:tc>
        <w:tc>
          <w:tcPr>
            <w:tcW w:type="dxa" w:w="2268"/>
          </w:tcPr>
          <w:p>
            <w:r>
              <w:t>WMS location confirm</w:t>
            </w:r>
          </w:p>
        </w:tc>
        <w:tc>
          <w:tcPr>
            <w:tcW w:type="dxa" w:w="2268"/>
          </w:tcPr>
          <w:p>
            <w:r>
              <w:t>Racking load notices</w:t>
            </w:r>
          </w:p>
        </w:tc>
      </w:tr>
      <w:tr>
        <w:tc>
          <w:tcPr>
            <w:tcW w:type="dxa" w:w="2608"/>
          </w:tcPr>
          <w:p>
            <w:r>
              <w:t>Picking</w:t>
            </w:r>
          </w:p>
        </w:tc>
        <w:tc>
          <w:tcPr>
            <w:tcW w:type="dxa" w:w="2494"/>
          </w:tcPr>
          <w:p>
            <w:r>
              <w:t>Every order</w:t>
            </w:r>
          </w:p>
        </w:tc>
        <w:tc>
          <w:tcPr>
            <w:tcW w:type="dxa" w:w="2268"/>
          </w:tcPr>
          <w:p>
            <w:r>
              <w:t>Pick confirmation; short-pick log</w:t>
            </w:r>
          </w:p>
        </w:tc>
        <w:tc>
          <w:tcPr>
            <w:tcW w:type="dxa" w:w="2268"/>
          </w:tcPr>
          <w:p>
            <w:r>
              <w:t>Your WMS</w:t>
            </w:r>
          </w:p>
        </w:tc>
      </w:tr>
      <w:tr>
        <w:tc>
          <w:tcPr>
            <w:tcW w:type="dxa" w:w="2608"/>
          </w:tcPr>
          <w:p>
            <w:r>
              <w:t>Packing and dispatch</w:t>
            </w:r>
          </w:p>
        </w:tc>
        <w:tc>
          <w:tcPr>
            <w:tcW w:type="dxa" w:w="2494"/>
          </w:tcPr>
          <w:p>
            <w:r>
              <w:t>Every outbound order</w:t>
            </w:r>
          </w:p>
        </w:tc>
        <w:tc>
          <w:tcPr>
            <w:tcW w:type="dxa" w:w="2268"/>
          </w:tcPr>
          <w:p>
            <w:r>
              <w:t>Manifest; proof of loading</w:t>
            </w:r>
          </w:p>
        </w:tc>
        <w:tc>
          <w:tcPr>
            <w:tcW w:type="dxa" w:w="2268"/>
          </w:tcPr>
          <w:p>
            <w:r>
              <w:t>Carrier rules; dangerous goods regs where they apply</w:t>
            </w:r>
          </w:p>
        </w:tc>
      </w:tr>
      <w:tr>
        <w:tc>
          <w:tcPr>
            <w:tcW w:type="dxa" w:w="2608"/>
          </w:tcPr>
          <w:p>
            <w:r>
              <w:t>Loading dock safety</w:t>
            </w:r>
          </w:p>
        </w:tc>
        <w:tc>
          <w:tcPr>
            <w:tcW w:type="dxa" w:w="2494"/>
          </w:tcPr>
          <w:p>
            <w:r>
              <w:t>Every trailer at a door</w:t>
            </w:r>
          </w:p>
        </w:tc>
        <w:tc>
          <w:tcPr>
            <w:tcW w:type="dxa" w:w="2268"/>
          </w:tcPr>
          <w:p>
            <w:r>
              <w:t>Dock checklist</w:t>
            </w:r>
          </w:p>
        </w:tc>
        <w:tc>
          <w:tcPr>
            <w:tcW w:type="dxa" w:w="2268"/>
          </w:tcPr>
          <w:p>
            <w:r>
              <w:t>OSHA 1910.178(k) and (m)(7)</w:t>
            </w:r>
          </w:p>
        </w:tc>
      </w:tr>
      <w:tr>
        <w:tc>
          <w:tcPr>
            <w:tcW w:type="dxa" w:w="2608"/>
          </w:tcPr>
          <w:p>
            <w:r>
              <w:t>Forklift pre-use inspection</w:t>
            </w:r>
          </w:p>
        </w:tc>
        <w:tc>
          <w:tcPr>
            <w:tcW w:type="dxa" w:w="2494"/>
          </w:tcPr>
          <w:p>
            <w:r>
              <w:t>Every shift, every truck</w:t>
            </w:r>
          </w:p>
        </w:tc>
        <w:tc>
          <w:tcPr>
            <w:tcW w:type="dxa" w:w="2268"/>
          </w:tcPr>
          <w:p>
            <w:r>
              <w:t>Pre-use checklist</w:t>
            </w:r>
          </w:p>
        </w:tc>
        <w:tc>
          <w:tcPr>
            <w:tcW w:type="dxa" w:w="2268"/>
          </w:tcPr>
          <w:p>
            <w:r>
              <w:t>OSHA 1910.178(q)(7)</w:t>
            </w:r>
          </w:p>
        </w:tc>
      </w:tr>
      <w:tr>
        <w:tc>
          <w:tcPr>
            <w:tcW w:type="dxa" w:w="2608"/>
          </w:tcPr>
          <w:p>
            <w:r>
              <w:t>Racking inspection</w:t>
            </w:r>
          </w:p>
        </w:tc>
        <w:tc>
          <w:tcPr>
            <w:tcW w:type="dxa" w:w="2494"/>
          </w:tcPr>
          <w:p>
            <w:r>
              <w:t>Weekly by the warehouse; annually by an expert</w:t>
            </w:r>
          </w:p>
        </w:tc>
        <w:tc>
          <w:tcPr>
            <w:tcW w:type="dxa" w:w="2268"/>
          </w:tcPr>
          <w:p>
            <w:r>
              <w:t>Rack inspection record</w:t>
            </w:r>
          </w:p>
        </w:tc>
        <w:tc>
          <w:tcPr>
            <w:tcW w:type="dxa" w:w="2268"/>
          </w:tcPr>
          <w:p>
            <w:r>
              <w:t>RMI ANSI MH16.1 (US); SEMA guidance (UK)</w:t>
            </w:r>
          </w:p>
        </w:tc>
      </w:tr>
      <w:tr>
        <w:tc>
          <w:tcPr>
            <w:tcW w:type="dxa" w:w="2608"/>
          </w:tcPr>
          <w:p>
            <w:r>
              <w:t>Battery charging and changing</w:t>
            </w:r>
          </w:p>
        </w:tc>
        <w:tc>
          <w:tcPr>
            <w:tcW w:type="dxa" w:w="2494"/>
          </w:tcPr>
          <w:p>
            <w:r>
              <w:t>Every charge</w:t>
            </w:r>
          </w:p>
        </w:tc>
        <w:tc>
          <w:tcPr>
            <w:tcW w:type="dxa" w:w="2268"/>
          </w:tcPr>
          <w:p>
            <w:r>
              <w:t>Charging log</w:t>
            </w:r>
          </w:p>
        </w:tc>
        <w:tc>
          <w:tcPr>
            <w:tcW w:type="dxa" w:w="2268"/>
          </w:tcPr>
          <w:p>
            <w:r>
              <w:t>OSHA 1910.178(g)</w:t>
            </w:r>
          </w:p>
        </w:tc>
      </w:tr>
      <w:tr>
        <w:tc>
          <w:tcPr>
            <w:tcW w:type="dxa" w:w="2608"/>
          </w:tcPr>
          <w:p>
            <w:r>
              <w:t>Manual handling</w:t>
            </w:r>
          </w:p>
        </w:tc>
        <w:tc>
          <w:tcPr>
            <w:tcW w:type="dxa" w:w="2494"/>
          </w:tcPr>
          <w:p>
            <w:r>
              <w:t>Every lift over 15 kg / 35 lb</w:t>
            </w:r>
          </w:p>
        </w:tc>
        <w:tc>
          <w:tcPr>
            <w:tcW w:type="dxa" w:w="2268"/>
          </w:tcPr>
          <w:p>
            <w:r>
              <w:t>None</w:t>
            </w:r>
          </w:p>
        </w:tc>
        <w:tc>
          <w:tcPr>
            <w:tcW w:type="dxa" w:w="2268"/>
          </w:tcPr>
          <w:p>
            <w:r>
              <w:t>NIOSH lifting equation; UK Manual Handling Regs 1992</w:t>
            </w:r>
          </w:p>
        </w:tc>
      </w:tr>
      <w:tr>
        <w:tc>
          <w:tcPr>
            <w:tcW w:type="dxa" w:w="2608"/>
          </w:tcPr>
          <w:p>
            <w:r>
              <w:t>Spill and damaged product</w:t>
            </w:r>
          </w:p>
        </w:tc>
        <w:tc>
          <w:tcPr>
            <w:tcW w:type="dxa" w:w="2494"/>
          </w:tcPr>
          <w:p>
            <w:r>
              <w:t>Every incident</w:t>
            </w:r>
          </w:p>
        </w:tc>
        <w:tc>
          <w:tcPr>
            <w:tcW w:type="dxa" w:w="2268"/>
          </w:tcPr>
          <w:p>
            <w:r>
              <w:t>Incident report</w:t>
            </w:r>
          </w:p>
        </w:tc>
        <w:tc>
          <w:tcPr>
            <w:tcW w:type="dxa" w:w="2268"/>
          </w:tcPr>
          <w:p>
            <w:r>
              <w:t>HazCom / COSHH for chemicals</w:t>
            </w:r>
          </w:p>
        </w:tc>
      </w:tr>
    </w:tbl>
    <w:p>
      <w:pPr>
        <w:pStyle w:val="Heading1"/>
      </w:pPr>
      <w:r>
        <w:rPr>
          <w:color w:val="14532D"/>
        </w:rPr>
        <w:t>In this pack</w:t>
      </w:r>
    </w:p>
    <w:p>
      <w:r>
        <w:t>1. Put-away</w:t>
      </w:r>
    </w:p>
    <w:p>
      <w:r>
        <w:t>2. Order picking</w:t>
      </w:r>
    </w:p>
    <w:p>
      <w:r>
        <w:t>3. Loading dock: securing a trailer</w:t>
      </w:r>
    </w:p>
    <w:p>
      <w:r>
        <w:t>4. Racking inspection</w:t>
      </w:r>
    </w:p>
    <w:p>
      <w:r>
        <w:t>5. Packing and dispatch</w:t>
      </w:r>
    </w:p>
    <w:p>
      <w:r>
        <w:br w:type="page"/>
      </w:r>
    </w:p>
    <w:p>
      <w:pPr>
        <w:pStyle w:val="Heading1"/>
      </w:pPr>
      <w:r>
        <w:rPr>
          <w:color w:val="14532D"/>
        </w:rPr>
        <w:t>Put-away</w:t>
      </w:r>
    </w:p>
    <w:tbl>
      <w:tblPr>
        <w:tblStyle w:val="TableGrid"/>
        <w:tblW w:type="auto" w:w="0"/>
        <w:jc w:val="center"/>
        <w:tblLook w:firstColumn="1" w:firstRow="1" w:lastColumn="0" w:lastRow="0" w:noHBand="0" w:noVBand="1" w:val="04A0"/>
      </w:tblPr>
      <w:tblGrid>
        <w:gridCol w:w="2493"/>
        <w:gridCol w:w="2493"/>
        <w:gridCol w:w="2493"/>
        <w:gridCol w:w="2493"/>
      </w:tblGrid>
      <w:tr>
        <w:tc>
          <w:tcPr>
            <w:tcW w:type="dxa" w:w="2041"/>
            <w:shd w:val="clear" w:color="auto" w:fill="E9F7D8"/>
          </w:tcPr>
          <w:p>
            <w:r/>
            <w:r>
              <w:rPr>
                <w:b/>
              </w:rPr>
              <w:t>SOP number</w:t>
            </w:r>
          </w:p>
        </w:tc>
        <w:tc>
          <w:tcPr>
            <w:tcW w:type="dxa" w:w="2778"/>
          </w:tcPr>
          <w:p/>
        </w:tc>
        <w:tc>
          <w:tcPr>
            <w:tcW w:type="dxa" w:w="2041"/>
            <w:shd w:val="clear" w:color="auto" w:fill="E9F7D8"/>
          </w:tcPr>
          <w:p>
            <w:r/>
            <w:r>
              <w:rPr>
                <w:b/>
              </w:rPr>
              <w:t>Version</w:t>
            </w:r>
          </w:p>
        </w:tc>
        <w:tc>
          <w:tcPr>
            <w:tcW w:type="dxa" w:w="2778"/>
          </w:tcPr>
          <w:p/>
        </w:tc>
      </w:tr>
      <w:tr>
        <w:tc>
          <w:tcPr>
            <w:tcW w:type="dxa" w:w="2041"/>
            <w:shd w:val="clear" w:color="auto" w:fill="E9F7D8"/>
          </w:tcPr>
          <w:p>
            <w:r/>
            <w:r>
              <w:rPr>
                <w:b/>
              </w:rPr>
              <w:t>Effective date</w:t>
            </w:r>
          </w:p>
        </w:tc>
        <w:tc>
          <w:tcPr>
            <w:tcW w:type="dxa" w:w="2778"/>
          </w:tcPr>
          <w:p/>
        </w:tc>
        <w:tc>
          <w:tcPr>
            <w:tcW w:type="dxa" w:w="2041"/>
            <w:shd w:val="clear" w:color="auto" w:fill="E9F7D8"/>
          </w:tcPr>
          <w:p>
            <w:r/>
            <w:r>
              <w:rPr>
                <w:b/>
              </w:rPr>
              <w:t>Owner</w:t>
            </w:r>
          </w:p>
        </w:tc>
        <w:tc>
          <w:tcPr>
            <w:tcW w:type="dxa" w:w="2778"/>
          </w:tcPr>
          <w:p/>
        </w:tc>
      </w:tr>
      <w:tr>
        <w:tc>
          <w:tcPr>
            <w:tcW w:type="dxa" w:w="2041"/>
            <w:shd w:val="clear" w:color="auto" w:fill="E9F7D8"/>
          </w:tcPr>
          <w:p>
            <w:r/>
            <w:r>
              <w:rPr>
                <w:b/>
              </w:rPr>
              <w:t>Approved by</w:t>
            </w:r>
          </w:p>
        </w:tc>
        <w:tc>
          <w:tcPr>
            <w:tcW w:type="dxa" w:w="2778"/>
          </w:tcPr>
          <w:p/>
        </w:tc>
        <w:tc>
          <w:tcPr>
            <w:tcW w:type="dxa" w:w="2041"/>
            <w:shd w:val="clear" w:color="auto" w:fill="E9F7D8"/>
          </w:tcPr>
          <w:p>
            <w:r/>
            <w:r>
              <w:rPr>
                <w:b/>
              </w:rPr>
              <w:t>Next review date</w:t>
            </w:r>
          </w:p>
        </w:tc>
        <w:tc>
          <w:tcPr>
            <w:tcW w:type="dxa" w:w="2778"/>
          </w:tcPr>
          <w:p/>
        </w:tc>
      </w:tr>
    </w:tbl>
    <w:p/>
    <w:tbl>
      <w:tblPr>
        <w:tblStyle w:val="TableGrid"/>
        <w:tblW w:type="auto" w:w="0"/>
        <w:tblLook w:firstColumn="1" w:firstRow="1" w:lastColumn="0" w:lastRow="0" w:noHBand="0" w:noVBand="1" w:val="04A0"/>
      </w:tblPr>
      <w:tblGrid>
        <w:gridCol w:w="2493"/>
        <w:gridCol w:w="2493"/>
        <w:gridCol w:w="2493"/>
        <w:gridCol w:w="2493"/>
      </w:tblGrid>
      <w:tr>
        <w:tc>
          <w:tcPr>
            <w:tcW w:type="dxa" w:w="1474"/>
            <w:shd w:val="clear" w:color="auto" w:fill="E9F7D8"/>
          </w:tcPr>
          <w:p>
            <w:r/>
            <w:r>
              <w:rPr>
                <w:b/>
              </w:rPr>
              <w:t>Area</w:t>
            </w:r>
          </w:p>
        </w:tc>
        <w:tc>
          <w:tcPr>
            <w:tcW w:type="dxa" w:w="3345"/>
          </w:tcPr>
          <w:p>
            <w:r>
              <w:t>Receiving bay to storage</w:t>
            </w:r>
          </w:p>
        </w:tc>
        <w:tc>
          <w:tcPr>
            <w:tcW w:type="dxa" w:w="1474"/>
            <w:shd w:val="clear" w:color="auto" w:fill="E9F7D8"/>
          </w:tcPr>
          <w:p>
            <w:r/>
            <w:r>
              <w:rPr>
                <w:b/>
              </w:rPr>
              <w:t>Done by</w:t>
            </w:r>
          </w:p>
        </w:tc>
        <w:tc>
          <w:tcPr>
            <w:tcW w:type="dxa" w:w="3345"/>
          </w:tcPr>
          <w:p>
            <w:r>
              <w:t>Forklift or reach-truck operator</w:t>
            </w:r>
          </w:p>
        </w:tc>
      </w:tr>
    </w:tbl>
    <w:p>
      <w:pPr>
        <w:pStyle w:val="Heading2"/>
      </w:pPr>
      <w:r>
        <w:rPr>
          <w:color w:val="14532D"/>
        </w:rPr>
        <w:t>1. Purpose</w:t>
      </w:r>
    </w:p>
    <w:p>
      <w:r>
        <w:t>Get a received pallet into the right location, recorded in the system, without overloading a beam or blocking an aisle.</w:t>
      </w:r>
    </w:p>
    <w:p>
      <w:pPr>
        <w:pStyle w:val="Heading2"/>
      </w:pPr>
      <w:r>
        <w:rPr>
          <w:color w:val="14532D"/>
        </w:rPr>
        <w:t>2. Scope</w:t>
      </w:r>
    </w:p>
    <w:p>
      <w:r>
        <w:t>Every pallet that has been received and labelled. Picking replenishment follows the same steps.</w:t>
      </w:r>
    </w:p>
    <w:p>
      <w:pPr>
        <w:pStyle w:val="Heading2"/>
      </w:pPr>
      <w:r>
        <w:rPr>
          <w:color w:val="14532D"/>
        </w:rPr>
        <w:t>3. Safety and PPE</w:t>
      </w:r>
    </w:p>
    <w:p>
      <w:pPr>
        <w:pStyle w:val="ListBullet"/>
      </w:pPr>
      <w:r>
        <w:t>Check the load before you lift: shrink-wrap tight, nothing overhanging, pallet boards not broken. A pallet that leans on the ground leans more at 8 metres.</w:t>
      </w:r>
    </w:p>
    <w:p>
      <w:pPr>
        <w:pStyle w:val="ListBullet"/>
      </w:pPr>
      <w:r>
        <w:t>Sound the horn at every aisle end and blind corner. Pedestrians have right of way; stop and make eye contact.</w:t>
      </w:r>
    </w:p>
    <w:p>
      <w:pPr>
        <w:pStyle w:val="Heading2"/>
      </w:pPr>
      <w:r>
        <w:rPr>
          <w:color w:val="14532D"/>
        </w:rPr>
        <w:t>4. Procedure</w:t>
      </w:r>
    </w:p>
    <w:tbl>
      <w:tblPr>
        <w:tblStyle w:val="TableGrid"/>
        <w:tblW w:type="auto" w:w="0"/>
        <w:tblLook w:firstColumn="1" w:firstRow="1" w:lastColumn="0" w:lastRow="0" w:noHBand="0" w:noVBand="1" w:val="04A0"/>
      </w:tblPr>
      <w:tblGrid>
        <w:gridCol w:w="3324"/>
        <w:gridCol w:w="3324"/>
        <w:gridCol w:w="3324"/>
      </w:tblGrid>
      <w:tr>
        <w:tc>
          <w:tcPr>
            <w:tcW w:type="dxa" w:w="737"/>
            <w:shd w:val="clear" w:color="auto" w:fill="E9F7D8"/>
          </w:tcPr>
          <w:p>
            <w:r/>
            <w:r>
              <w:rPr>
                <w:b/>
                <w:color w:val="14532D"/>
              </w:rPr>
              <w:t>Step</w:t>
            </w:r>
          </w:p>
        </w:tc>
        <w:tc>
          <w:tcPr>
            <w:tcW w:type="dxa" w:w="4876"/>
            <w:shd w:val="clear" w:color="auto" w:fill="E9F7D8"/>
          </w:tcPr>
          <w:p>
            <w:r/>
            <w:r>
              <w:rPr>
                <w:b/>
                <w:color w:val="14532D"/>
              </w:rPr>
              <w:t>Action</w:t>
            </w:r>
          </w:p>
        </w:tc>
        <w:tc>
          <w:tcPr>
            <w:tcW w:type="dxa" w:w="4025"/>
            <w:shd w:val="clear" w:color="auto" w:fill="E9F7D8"/>
          </w:tcPr>
          <w:p>
            <w:r/>
            <w:r>
              <w:rPr>
                <w:b/>
                <w:color w:val="14532D"/>
              </w:rPr>
              <w:t>Key point / warning</w:t>
            </w:r>
          </w:p>
        </w:tc>
      </w:tr>
      <w:tr>
        <w:tc>
          <w:tcPr>
            <w:tcW w:type="dxa" w:w="737"/>
          </w:tcPr>
          <w:p>
            <w:r>
              <w:t>1</w:t>
            </w:r>
          </w:p>
        </w:tc>
        <w:tc>
          <w:tcPr>
            <w:tcW w:type="dxa" w:w="4876"/>
          </w:tcPr>
          <w:p>
            <w:r>
              <w:t>Scan the pallet licence plate. The WMS gives a location. Check the pallet weight on the label against the beam load notice for that location.</w:t>
            </w:r>
          </w:p>
        </w:tc>
        <w:tc>
          <w:tcPr>
            <w:tcW w:type="dxa" w:w="4025"/>
          </w:tcPr>
          <w:p>
            <w:r>
              <w:t>No load notice on the bay, or the pallet is heavier than the notice: do not put it there. Report it.</w:t>
            </w:r>
          </w:p>
        </w:tc>
      </w:tr>
      <w:tr>
        <w:tc>
          <w:tcPr>
            <w:tcW w:type="dxa" w:w="737"/>
          </w:tcPr>
          <w:p>
            <w:r>
              <w:t>2</w:t>
            </w:r>
          </w:p>
        </w:tc>
        <w:tc>
          <w:tcPr>
            <w:tcW w:type="dxa" w:w="4876"/>
          </w:tcPr>
          <w:p>
            <w:r>
              <w:t>Check the pallet height against the location height. Clearance above the load should be at least 75 mm (3 in).</w:t>
            </w:r>
          </w:p>
        </w:tc>
        <w:tc>
          <w:tcPr>
            <w:tcW w:type="dxa" w:w="4025"/>
          </w:tcPr>
          <w:p>
            <w:r/>
          </w:p>
        </w:tc>
      </w:tr>
      <w:tr>
        <w:tc>
          <w:tcPr>
            <w:tcW w:type="dxa" w:w="737"/>
          </w:tcPr>
          <w:p>
            <w:r>
              <w:t>3</w:t>
            </w:r>
          </w:p>
        </w:tc>
        <w:tc>
          <w:tcPr>
            <w:tcW w:type="dxa" w:w="4876"/>
          </w:tcPr>
          <w:p>
            <w:r>
              <w:t>Drive to the location with the load tilted back and low — forks 10 to 15 cm off the floor.</w:t>
            </w:r>
          </w:p>
        </w:tc>
        <w:tc>
          <w:tcPr>
            <w:tcW w:type="dxa" w:w="4025"/>
          </w:tcPr>
          <w:p>
            <w:r>
              <w:t>Never travel with a raised load, even for one bay.</w:t>
            </w:r>
          </w:p>
        </w:tc>
      </w:tr>
      <w:tr>
        <w:tc>
          <w:tcPr>
            <w:tcW w:type="dxa" w:w="737"/>
          </w:tcPr>
          <w:p>
            <w:r>
              <w:t>4</w:t>
            </w:r>
          </w:p>
        </w:tc>
        <w:tc>
          <w:tcPr>
            <w:tcW w:type="dxa" w:w="4876"/>
          </w:tcPr>
          <w:p>
            <w:r>
              <w:t>Stop square to the location. Raise the load to just above beam height. Move in until the pallet is fully on both beams with a 50 mm (2 in) overhang at each side at most.</w:t>
            </w:r>
          </w:p>
        </w:tc>
        <w:tc>
          <w:tcPr>
            <w:tcW w:type="dxa" w:w="4025"/>
          </w:tcPr>
          <w:p>
            <w:r>
              <w:t>A pallet resting on one beam is a pallet that will fall when the next one is placed beside it.</w:t>
            </w:r>
          </w:p>
        </w:tc>
      </w:tr>
      <w:tr>
        <w:tc>
          <w:tcPr>
            <w:tcW w:type="dxa" w:w="737"/>
          </w:tcPr>
          <w:p>
            <w:r>
              <w:t>5</w:t>
            </w:r>
          </w:p>
        </w:tc>
        <w:tc>
          <w:tcPr>
            <w:tcW w:type="dxa" w:w="4876"/>
          </w:tcPr>
          <w:p>
            <w:r>
              <w:t>Lower until the pallet sits on the beams. Back out straight. Lower the forks before you turn.</w:t>
            </w:r>
          </w:p>
        </w:tc>
        <w:tc>
          <w:tcPr>
            <w:tcW w:type="dxa" w:w="4025"/>
          </w:tcPr>
          <w:p>
            <w:r/>
          </w:p>
        </w:tc>
      </w:tr>
      <w:tr>
        <w:tc>
          <w:tcPr>
            <w:tcW w:type="dxa" w:w="737"/>
          </w:tcPr>
          <w:p>
            <w:r>
              <w:t>6</w:t>
            </w:r>
          </w:p>
        </w:tc>
        <w:tc>
          <w:tcPr>
            <w:tcW w:type="dxa" w:w="4876"/>
          </w:tcPr>
          <w:p>
            <w:r>
              <w:t>Scan the location label to confirm the put-away. A mismatch message means stop and check — do not override.</w:t>
            </w:r>
          </w:p>
        </w:tc>
        <w:tc>
          <w:tcPr>
            <w:tcW w:type="dxa" w:w="4025"/>
          </w:tcPr>
          <w:p>
            <w:r>
              <w:t>Every override is a future stock count error.</w:t>
            </w:r>
          </w:p>
        </w:tc>
      </w:tr>
      <w:tr>
        <w:tc>
          <w:tcPr>
            <w:tcW w:type="dxa" w:w="737"/>
          </w:tcPr>
          <w:p>
            <w:r>
              <w:t>7</w:t>
            </w:r>
          </w:p>
        </w:tc>
        <w:tc>
          <w:tcPr>
            <w:tcW w:type="dxa" w:w="4876"/>
          </w:tcPr>
          <w:p>
            <w:r>
              <w:t>Look up before you leave the aisle: nothing overhanging, nothing leaning, beam not dented. Report rack damage at once (see the racking SOP).</w:t>
            </w:r>
          </w:p>
        </w:tc>
        <w:tc>
          <w:tcPr>
            <w:tcW w:type="dxa" w:w="4025"/>
          </w:tcPr>
          <w:p>
            <w:r/>
          </w:p>
        </w:tc>
      </w:tr>
    </w:tbl>
    <w:p>
      <w:pPr>
        <w:pStyle w:val="Heading2"/>
      </w:pPr>
      <w:r>
        <w:rPr>
          <w:color w:val="14532D"/>
        </w:rPr>
        <w:t>5. Checks and records</w:t>
      </w:r>
    </w:p>
    <w:p>
      <w:r>
        <w:t>WMS put-away confirmation; rack damage report where needed.</w:t>
      </w:r>
    </w:p>
    <w:p>
      <w:pPr>
        <w:pStyle w:val="Heading2"/>
      </w:pPr>
      <w:r>
        <w:rPr>
          <w:color w:val="14532D"/>
        </w:rPr>
        <w:t>6. References</w:t>
      </w:r>
    </w:p>
    <w:p>
      <w:r>
        <w:t>OSHA 29 CFR 1910.178 (powered industrial trucks); RMI ANSI MH16.1 (load notices); SEMA guidance on rack damage.</w:t>
      </w:r>
    </w:p>
    <w:p>
      <w:pPr>
        <w:pStyle w:val="Heading2"/>
      </w:pPr>
      <w:r>
        <w:rPr>
          <w:color w:val="14532D"/>
        </w:rPr>
        <w:t>7. Training sign-off</w:t>
      </w:r>
    </w:p>
    <w:tbl>
      <w:tblPr>
        <w:tblStyle w:val="TableGrid"/>
        <w:tblW w:type="auto" w:w="0"/>
        <w:tblLook w:firstColumn="1" w:firstRow="1" w:lastColumn="0" w:lastRow="0" w:noHBand="0" w:noVBand="1" w:val="04A0"/>
      </w:tblPr>
      <w:tblGrid>
        <w:gridCol w:w="2493"/>
        <w:gridCol w:w="2493"/>
        <w:gridCol w:w="2493"/>
        <w:gridCol w:w="2493"/>
      </w:tblGrid>
      <w:tr>
        <w:tc>
          <w:tcPr>
            <w:tcW w:type="dxa" w:w="2493"/>
            <w:shd w:val="clear" w:color="auto" w:fill="E9F7D8"/>
          </w:tcPr>
          <w:p>
            <w:r/>
            <w:r>
              <w:rPr>
                <w:b/>
                <w:color w:val="14532D"/>
              </w:rPr>
              <w:t>Name</w:t>
            </w:r>
          </w:p>
        </w:tc>
        <w:tc>
          <w:tcPr>
            <w:tcW w:type="dxa" w:w="2493"/>
            <w:shd w:val="clear" w:color="auto" w:fill="E9F7D8"/>
          </w:tcPr>
          <w:p>
            <w:r/>
            <w:r>
              <w:rPr>
                <w:b/>
                <w:color w:val="14532D"/>
              </w:rPr>
              <w:t>Date</w:t>
            </w:r>
          </w:p>
        </w:tc>
        <w:tc>
          <w:tcPr>
            <w:tcW w:type="dxa" w:w="2493"/>
            <w:shd w:val="clear" w:color="auto" w:fill="E9F7D8"/>
          </w:tcPr>
          <w:p>
            <w:r/>
            <w:r>
              <w:rPr>
                <w:b/>
                <w:color w:val="14532D"/>
              </w:rPr>
              <w:t>Signature</w:t>
            </w:r>
          </w:p>
        </w:tc>
        <w:tc>
          <w:tcPr>
            <w:tcW w:type="dxa" w:w="2493"/>
            <w:shd w:val="clear" w:color="auto" w:fill="E9F7D8"/>
          </w:tcPr>
          <w:p>
            <w:r/>
            <w:r>
              <w:rPr>
                <w:b/>
                <w:color w:val="14532D"/>
              </w:rPr>
              <w:t>Trainer</w:t>
            </w:r>
          </w:p>
        </w:tc>
      </w:tr>
      <w:tr>
        <w:trPr>
          <w:trHeight w:val="482"/>
        </w:trPr>
        <w:tc>
          <w:tcPr>
            <w:tcW w:type="dxa" w:w="2493"/>
          </w:tcPr>
          <w:p/>
        </w:tc>
        <w:tc>
          <w:tcPr>
            <w:tcW w:type="dxa" w:w="2493"/>
          </w:tcPr>
          <w:p/>
        </w:tc>
        <w:tc>
          <w:tcPr>
            <w:tcW w:type="dxa" w:w="2493"/>
          </w:tcPr>
          <w:p/>
        </w:tc>
        <w:tc>
          <w:tcPr>
            <w:tcW w:type="dxa" w:w="2493"/>
          </w:tcPr>
          <w:p/>
        </w:tc>
      </w:tr>
      <w:tr>
        <w:trPr>
          <w:trHeight w:val="482"/>
        </w:trPr>
        <w:tc>
          <w:tcPr>
            <w:tcW w:type="dxa" w:w="2493"/>
          </w:tcPr>
          <w:p/>
        </w:tc>
        <w:tc>
          <w:tcPr>
            <w:tcW w:type="dxa" w:w="2493"/>
          </w:tcPr>
          <w:p/>
        </w:tc>
        <w:tc>
          <w:tcPr>
            <w:tcW w:type="dxa" w:w="2493"/>
          </w:tcPr>
          <w:p/>
        </w:tc>
        <w:tc>
          <w:tcPr>
            <w:tcW w:type="dxa" w:w="2493"/>
          </w:tcPr>
          <w:p/>
        </w:tc>
      </w:tr>
      <w:tr>
        <w:trPr>
          <w:trHeight w:val="482"/>
        </w:trPr>
        <w:tc>
          <w:tcPr>
            <w:tcW w:type="dxa" w:w="2493"/>
          </w:tcPr>
          <w:p/>
        </w:tc>
        <w:tc>
          <w:tcPr>
            <w:tcW w:type="dxa" w:w="2493"/>
          </w:tcPr>
          <w:p/>
        </w:tc>
        <w:tc>
          <w:tcPr>
            <w:tcW w:type="dxa" w:w="2493"/>
          </w:tcPr>
          <w:p/>
        </w:tc>
        <w:tc>
          <w:tcPr>
            <w:tcW w:type="dxa" w:w="2493"/>
          </w:tcPr>
          <w:p/>
        </w:tc>
      </w:tr>
      <w:tr>
        <w:trPr>
          <w:trHeight w:val="482"/>
        </w:trPr>
        <w:tc>
          <w:tcPr>
            <w:tcW w:type="dxa" w:w="2493"/>
          </w:tcPr>
          <w:p/>
        </w:tc>
        <w:tc>
          <w:tcPr>
            <w:tcW w:type="dxa" w:w="2493"/>
          </w:tcPr>
          <w:p/>
        </w:tc>
        <w:tc>
          <w:tcPr>
            <w:tcW w:type="dxa" w:w="2493"/>
          </w:tcPr>
          <w:p/>
        </w:tc>
        <w:tc>
          <w:tcPr>
            <w:tcW w:type="dxa" w:w="2493"/>
          </w:tcPr>
          <w:p/>
        </w:tc>
      </w:tr>
      <w:tr>
        <w:trPr>
          <w:trHeight w:val="482"/>
        </w:trPr>
        <w:tc>
          <w:tcPr>
            <w:tcW w:type="dxa" w:w="2493"/>
          </w:tcPr>
          <w:p/>
        </w:tc>
        <w:tc>
          <w:tcPr>
            <w:tcW w:type="dxa" w:w="2493"/>
          </w:tcPr>
          <w:p/>
        </w:tc>
        <w:tc>
          <w:tcPr>
            <w:tcW w:type="dxa" w:w="2493"/>
          </w:tcPr>
          <w:p/>
        </w:tc>
        <w:tc>
          <w:tcPr>
            <w:tcW w:type="dxa" w:w="2493"/>
          </w:tcPr>
          <w:p/>
        </w:tc>
      </w:tr>
      <w:tr>
        <w:trPr>
          <w:trHeight w:val="482"/>
        </w:trPr>
        <w:tc>
          <w:tcPr>
            <w:tcW w:type="dxa" w:w="2493"/>
          </w:tcPr>
          <w:p/>
        </w:tc>
        <w:tc>
          <w:tcPr>
            <w:tcW w:type="dxa" w:w="2493"/>
          </w:tcPr>
          <w:p/>
        </w:tc>
        <w:tc>
          <w:tcPr>
            <w:tcW w:type="dxa" w:w="2493"/>
          </w:tcPr>
          <w:p/>
        </w:tc>
        <w:tc>
          <w:tcPr>
            <w:tcW w:type="dxa" w:w="2493"/>
          </w:tcPr>
          <w:p/>
        </w:tc>
      </w:tr>
    </w:tbl>
    <w:p>
      <w:pPr>
        <w:pStyle w:val="Heading2"/>
      </w:pPr>
      <w:r>
        <w:rPr>
          <w:color w:val="14532D"/>
        </w:rPr>
        <w:t>Revision history</w:t>
      </w:r>
    </w:p>
    <w:tbl>
      <w:tblPr>
        <w:tblStyle w:val="TableGrid"/>
        <w:tblW w:type="auto" w:w="0"/>
        <w:tblLook w:firstColumn="1" w:firstRow="1" w:lastColumn="0" w:lastRow="0" w:noHBand="0" w:noVBand="1" w:val="04A0"/>
      </w:tblPr>
      <w:tblGrid>
        <w:gridCol w:w="2493"/>
        <w:gridCol w:w="2493"/>
        <w:gridCol w:w="2493"/>
        <w:gridCol w:w="2493"/>
      </w:tblGrid>
      <w:tr>
        <w:tc>
          <w:tcPr>
            <w:tcW w:type="dxa" w:w="2493"/>
            <w:shd w:val="clear" w:color="auto" w:fill="E9F7D8"/>
          </w:tcPr>
          <w:p>
            <w:r/>
            <w:r>
              <w:rPr>
                <w:b/>
                <w:color w:val="14532D"/>
              </w:rPr>
              <w:t>Version</w:t>
            </w:r>
          </w:p>
        </w:tc>
        <w:tc>
          <w:tcPr>
            <w:tcW w:type="dxa" w:w="2493"/>
            <w:shd w:val="clear" w:color="auto" w:fill="E9F7D8"/>
          </w:tcPr>
          <w:p>
            <w:r/>
            <w:r>
              <w:rPr>
                <w:b/>
                <w:color w:val="14532D"/>
              </w:rPr>
              <w:t>Date</w:t>
            </w:r>
          </w:p>
        </w:tc>
        <w:tc>
          <w:tcPr>
            <w:tcW w:type="dxa" w:w="2493"/>
            <w:shd w:val="clear" w:color="auto" w:fill="E9F7D8"/>
          </w:tcPr>
          <w:p>
            <w:r/>
            <w:r>
              <w:rPr>
                <w:b/>
                <w:color w:val="14532D"/>
              </w:rPr>
              <w:t>What changed</w:t>
            </w:r>
          </w:p>
        </w:tc>
        <w:tc>
          <w:tcPr>
            <w:tcW w:type="dxa" w:w="2493"/>
            <w:shd w:val="clear" w:color="auto" w:fill="E9F7D8"/>
          </w:tcPr>
          <w:p>
            <w:r/>
            <w:r>
              <w:rPr>
                <w:b/>
                <w:color w:val="14532D"/>
              </w:rPr>
              <w:t>Approved by</w:t>
            </w:r>
          </w:p>
        </w:tc>
      </w:tr>
      <w:tr>
        <w:tc>
          <w:tcPr>
            <w:tcW w:type="dxa" w:w="2493"/>
          </w:tcPr>
          <w:p>
            <w:r>
              <w:t>1.0</w:t>
            </w:r>
          </w:p>
        </w:tc>
        <w:tc>
          <w:tcPr>
            <w:tcW w:type="dxa" w:w="2493"/>
          </w:tcPr>
          <w:p/>
        </w:tc>
        <w:tc>
          <w:tcPr>
            <w:tcW w:type="dxa" w:w="2493"/>
          </w:tcPr>
          <w:p>
            <w:r>
              <w:t>First issue</w:t>
            </w:r>
          </w:p>
        </w:tc>
        <w:tc>
          <w:tcPr>
            <w:tcW w:type="dxa" w:w="2493"/>
          </w:tcPr>
          <w:p/>
        </w:tc>
      </w:tr>
      <w:tr>
        <w:tc>
          <w:tcPr>
            <w:tcW w:type="dxa" w:w="2493"/>
          </w:tcPr>
          <w:p/>
        </w:tc>
        <w:tc>
          <w:tcPr>
            <w:tcW w:type="dxa" w:w="2493"/>
          </w:tcPr>
          <w:p/>
        </w:tc>
        <w:tc>
          <w:tcPr>
            <w:tcW w:type="dxa" w:w="2493"/>
          </w:tcPr>
          <w:p/>
        </w:tc>
        <w:tc>
          <w:tcPr>
            <w:tcW w:type="dxa" w:w="2493"/>
          </w:tcPr>
          <w:p/>
        </w:tc>
      </w:tr>
    </w:tbl>
    <w:p>
      <w:r>
        <w:br w:type="page"/>
      </w:r>
    </w:p>
    <w:p>
      <w:pPr>
        <w:pStyle w:val="Heading1"/>
      </w:pPr>
      <w:r>
        <w:rPr>
          <w:color w:val="14532D"/>
        </w:rPr>
        <w:t>Order picking</w:t>
      </w:r>
    </w:p>
    <w:tbl>
      <w:tblPr>
        <w:tblStyle w:val="TableGrid"/>
        <w:tblW w:type="auto" w:w="0"/>
        <w:jc w:val="center"/>
        <w:tblLook w:firstColumn="1" w:firstRow="1" w:lastColumn="0" w:lastRow="0" w:noHBand="0" w:noVBand="1" w:val="04A0"/>
      </w:tblPr>
      <w:tblGrid>
        <w:gridCol w:w="2493"/>
        <w:gridCol w:w="2493"/>
        <w:gridCol w:w="2493"/>
        <w:gridCol w:w="2493"/>
      </w:tblGrid>
      <w:tr>
        <w:tc>
          <w:tcPr>
            <w:tcW w:type="dxa" w:w="2041"/>
            <w:shd w:val="clear" w:color="auto" w:fill="E9F7D8"/>
          </w:tcPr>
          <w:p>
            <w:r/>
            <w:r>
              <w:rPr>
                <w:b/>
              </w:rPr>
              <w:t>SOP number</w:t>
            </w:r>
          </w:p>
        </w:tc>
        <w:tc>
          <w:tcPr>
            <w:tcW w:type="dxa" w:w="2778"/>
          </w:tcPr>
          <w:p/>
        </w:tc>
        <w:tc>
          <w:tcPr>
            <w:tcW w:type="dxa" w:w="2041"/>
            <w:shd w:val="clear" w:color="auto" w:fill="E9F7D8"/>
          </w:tcPr>
          <w:p>
            <w:r/>
            <w:r>
              <w:rPr>
                <w:b/>
              </w:rPr>
              <w:t>Version</w:t>
            </w:r>
          </w:p>
        </w:tc>
        <w:tc>
          <w:tcPr>
            <w:tcW w:type="dxa" w:w="2778"/>
          </w:tcPr>
          <w:p/>
        </w:tc>
      </w:tr>
      <w:tr>
        <w:tc>
          <w:tcPr>
            <w:tcW w:type="dxa" w:w="2041"/>
            <w:shd w:val="clear" w:color="auto" w:fill="E9F7D8"/>
          </w:tcPr>
          <w:p>
            <w:r/>
            <w:r>
              <w:rPr>
                <w:b/>
              </w:rPr>
              <w:t>Effective date</w:t>
            </w:r>
          </w:p>
        </w:tc>
        <w:tc>
          <w:tcPr>
            <w:tcW w:type="dxa" w:w="2778"/>
          </w:tcPr>
          <w:p/>
        </w:tc>
        <w:tc>
          <w:tcPr>
            <w:tcW w:type="dxa" w:w="2041"/>
            <w:shd w:val="clear" w:color="auto" w:fill="E9F7D8"/>
          </w:tcPr>
          <w:p>
            <w:r/>
            <w:r>
              <w:rPr>
                <w:b/>
              </w:rPr>
              <w:t>Owner</w:t>
            </w:r>
          </w:p>
        </w:tc>
        <w:tc>
          <w:tcPr>
            <w:tcW w:type="dxa" w:w="2778"/>
          </w:tcPr>
          <w:p/>
        </w:tc>
      </w:tr>
      <w:tr>
        <w:tc>
          <w:tcPr>
            <w:tcW w:type="dxa" w:w="2041"/>
            <w:shd w:val="clear" w:color="auto" w:fill="E9F7D8"/>
          </w:tcPr>
          <w:p>
            <w:r/>
            <w:r>
              <w:rPr>
                <w:b/>
              </w:rPr>
              <w:t>Approved by</w:t>
            </w:r>
          </w:p>
        </w:tc>
        <w:tc>
          <w:tcPr>
            <w:tcW w:type="dxa" w:w="2778"/>
          </w:tcPr>
          <w:p/>
        </w:tc>
        <w:tc>
          <w:tcPr>
            <w:tcW w:type="dxa" w:w="2041"/>
            <w:shd w:val="clear" w:color="auto" w:fill="E9F7D8"/>
          </w:tcPr>
          <w:p>
            <w:r/>
            <w:r>
              <w:rPr>
                <w:b/>
              </w:rPr>
              <w:t>Next review date</w:t>
            </w:r>
          </w:p>
        </w:tc>
        <w:tc>
          <w:tcPr>
            <w:tcW w:type="dxa" w:w="2778"/>
          </w:tcPr>
          <w:p/>
        </w:tc>
      </w:tr>
    </w:tbl>
    <w:p/>
    <w:tbl>
      <w:tblPr>
        <w:tblStyle w:val="TableGrid"/>
        <w:tblW w:type="auto" w:w="0"/>
        <w:tblLook w:firstColumn="1" w:firstRow="1" w:lastColumn="0" w:lastRow="0" w:noHBand="0" w:noVBand="1" w:val="04A0"/>
      </w:tblPr>
      <w:tblGrid>
        <w:gridCol w:w="2493"/>
        <w:gridCol w:w="2493"/>
        <w:gridCol w:w="2493"/>
        <w:gridCol w:w="2493"/>
      </w:tblGrid>
      <w:tr>
        <w:tc>
          <w:tcPr>
            <w:tcW w:type="dxa" w:w="1474"/>
            <w:shd w:val="clear" w:color="auto" w:fill="E9F7D8"/>
          </w:tcPr>
          <w:p>
            <w:r/>
            <w:r>
              <w:rPr>
                <w:b/>
              </w:rPr>
              <w:t>Area</w:t>
            </w:r>
          </w:p>
        </w:tc>
        <w:tc>
          <w:tcPr>
            <w:tcW w:type="dxa" w:w="3345"/>
          </w:tcPr>
          <w:p>
            <w:r>
              <w:t>Pick faces</w:t>
            </w:r>
          </w:p>
        </w:tc>
        <w:tc>
          <w:tcPr>
            <w:tcW w:type="dxa" w:w="1474"/>
            <w:shd w:val="clear" w:color="auto" w:fill="E9F7D8"/>
          </w:tcPr>
          <w:p>
            <w:r/>
            <w:r>
              <w:rPr>
                <w:b/>
              </w:rPr>
              <w:t>Done by</w:t>
            </w:r>
          </w:p>
        </w:tc>
        <w:tc>
          <w:tcPr>
            <w:tcW w:type="dxa" w:w="3345"/>
          </w:tcPr>
          <w:p>
            <w:r>
              <w:t>Picker</w:t>
            </w:r>
          </w:p>
        </w:tc>
      </w:tr>
    </w:tbl>
    <w:p>
      <w:pPr>
        <w:pStyle w:val="Heading2"/>
      </w:pPr>
      <w:r>
        <w:rPr>
          <w:color w:val="14532D"/>
        </w:rPr>
        <w:t>1. Purpose</w:t>
      </w:r>
    </w:p>
    <w:p>
      <w:r>
        <w:t>Pick the right item, the right quantity, in the right condition, and record what was short — so the customer gets what they ordered and the stock count stays true.</w:t>
      </w:r>
    </w:p>
    <w:p>
      <w:pPr>
        <w:pStyle w:val="Heading2"/>
      </w:pPr>
      <w:r>
        <w:rPr>
          <w:color w:val="14532D"/>
        </w:rPr>
        <w:t>2. Scope</w:t>
      </w:r>
    </w:p>
    <w:p>
      <w:r>
        <w:t>Case and each picking from floor-level and first-level locations, with a scanner or voice system. Full-pallet picking follows the put-away SOP in reverse.</w:t>
      </w:r>
    </w:p>
    <w:p>
      <w:pPr>
        <w:pStyle w:val="Heading2"/>
      </w:pPr>
      <w:r>
        <w:rPr>
          <w:color w:val="14532D"/>
        </w:rPr>
        <w:t>3. Safety and PPE</w:t>
      </w:r>
    </w:p>
    <w:p>
      <w:pPr>
        <w:pStyle w:val="ListBullet"/>
      </w:pPr>
      <w:r>
        <w:t>Cases over 20 kg (45 lb) or above shoulder height are a two-person or mechanical lift. Use the step stool for second-level locations, never a pallet or a rack beam.</w:t>
      </w:r>
    </w:p>
    <w:p>
      <w:pPr>
        <w:pStyle w:val="ListBullet"/>
      </w:pPr>
      <w:r>
        <w:t>Keep the pick cart in the aisle, not across it.</w:t>
      </w:r>
    </w:p>
    <w:p>
      <w:pPr>
        <w:pStyle w:val="Heading2"/>
      </w:pPr>
      <w:r>
        <w:rPr>
          <w:color w:val="14532D"/>
        </w:rPr>
        <w:t>4. Procedure</w:t>
      </w:r>
    </w:p>
    <w:tbl>
      <w:tblPr>
        <w:tblStyle w:val="TableGrid"/>
        <w:tblW w:type="auto" w:w="0"/>
        <w:tblLook w:firstColumn="1" w:firstRow="1" w:lastColumn="0" w:lastRow="0" w:noHBand="0" w:noVBand="1" w:val="04A0"/>
      </w:tblPr>
      <w:tblGrid>
        <w:gridCol w:w="3324"/>
        <w:gridCol w:w="3324"/>
        <w:gridCol w:w="3324"/>
      </w:tblGrid>
      <w:tr>
        <w:tc>
          <w:tcPr>
            <w:tcW w:type="dxa" w:w="737"/>
            <w:shd w:val="clear" w:color="auto" w:fill="E9F7D8"/>
          </w:tcPr>
          <w:p>
            <w:r/>
            <w:r>
              <w:rPr>
                <w:b/>
                <w:color w:val="14532D"/>
              </w:rPr>
              <w:t>Step</w:t>
            </w:r>
          </w:p>
        </w:tc>
        <w:tc>
          <w:tcPr>
            <w:tcW w:type="dxa" w:w="4876"/>
            <w:shd w:val="clear" w:color="auto" w:fill="E9F7D8"/>
          </w:tcPr>
          <w:p>
            <w:r/>
            <w:r>
              <w:rPr>
                <w:b/>
                <w:color w:val="14532D"/>
              </w:rPr>
              <w:t>Action</w:t>
            </w:r>
          </w:p>
        </w:tc>
        <w:tc>
          <w:tcPr>
            <w:tcW w:type="dxa" w:w="4025"/>
            <w:shd w:val="clear" w:color="auto" w:fill="E9F7D8"/>
          </w:tcPr>
          <w:p>
            <w:r/>
            <w:r>
              <w:rPr>
                <w:b/>
                <w:color w:val="14532D"/>
              </w:rPr>
              <w:t>Key point / warning</w:t>
            </w:r>
          </w:p>
        </w:tc>
      </w:tr>
      <w:tr>
        <w:tc>
          <w:tcPr>
            <w:tcW w:type="dxa" w:w="737"/>
          </w:tcPr>
          <w:p>
            <w:r>
              <w:t>1</w:t>
            </w:r>
          </w:p>
        </w:tc>
        <w:tc>
          <w:tcPr>
            <w:tcW w:type="dxa" w:w="4876"/>
          </w:tcPr>
          <w:p>
            <w:r>
              <w:t>Log in to the scanner. Take the pick list or the next task. Check the tote or pallet is empty and labelled for this order.</w:t>
            </w:r>
          </w:p>
        </w:tc>
        <w:tc>
          <w:tcPr>
            <w:tcW w:type="dxa" w:w="4025"/>
          </w:tcPr>
          <w:p>
            <w:r/>
          </w:p>
        </w:tc>
      </w:tr>
      <w:tr>
        <w:tc>
          <w:tcPr>
            <w:tcW w:type="dxa" w:w="737"/>
          </w:tcPr>
          <w:p>
            <w:r>
              <w:t>2</w:t>
            </w:r>
          </w:p>
        </w:tc>
        <w:tc>
          <w:tcPr>
            <w:tcW w:type="dxa" w:w="4876"/>
          </w:tcPr>
          <w:p>
            <w:r>
              <w:t>Go to the location in the order the system gives. Scan the location label first, then the item barcode.</w:t>
            </w:r>
          </w:p>
        </w:tc>
        <w:tc>
          <w:tcPr>
            <w:tcW w:type="dxa" w:w="4025"/>
          </w:tcPr>
          <w:p>
            <w:r>
              <w:t>Scan the shelf, not the picture on the list.</w:t>
            </w:r>
          </w:p>
        </w:tc>
      </w:tr>
      <w:tr>
        <w:tc>
          <w:tcPr>
            <w:tcW w:type="dxa" w:w="737"/>
          </w:tcPr>
          <w:p>
            <w:r>
              <w:t>3</w:t>
            </w:r>
          </w:p>
        </w:tc>
        <w:tc>
          <w:tcPr>
            <w:tcW w:type="dxa" w:w="4876"/>
          </w:tcPr>
          <w:p>
            <w:r>
              <w:t>Count out the quantity. For eaches, count twice; for cases, check the case quantity on the carton matches what you were asked for.</w:t>
            </w:r>
          </w:p>
        </w:tc>
        <w:tc>
          <w:tcPr>
            <w:tcW w:type="dxa" w:w="4025"/>
          </w:tcPr>
          <w:p>
            <w:r>
              <w:t>"Case of 12" picked as 1 is the most common short on the planet.</w:t>
            </w:r>
          </w:p>
        </w:tc>
      </w:tr>
      <w:tr>
        <w:tc>
          <w:tcPr>
            <w:tcW w:type="dxa" w:w="737"/>
          </w:tcPr>
          <w:p>
            <w:r>
              <w:t>4</w:t>
            </w:r>
          </w:p>
        </w:tc>
        <w:tc>
          <w:tcPr>
            <w:tcW w:type="dxa" w:w="4876"/>
          </w:tcPr>
          <w:p>
            <w:r>
              <w:t>Check the condition: damaged, open, leaking, wet, past date — set it aside on the damaged shelf with a tag, and pick a clean one.</w:t>
            </w:r>
          </w:p>
        </w:tc>
        <w:tc>
          <w:tcPr>
            <w:tcW w:type="dxa" w:w="4025"/>
          </w:tcPr>
          <w:p>
            <w:r>
              <w:t>Never put damaged stock back on the pick face.</w:t>
            </w:r>
          </w:p>
        </w:tc>
      </w:tr>
      <w:tr>
        <w:tc>
          <w:tcPr>
            <w:tcW w:type="dxa" w:w="737"/>
          </w:tcPr>
          <w:p>
            <w:r>
              <w:t>5</w:t>
            </w:r>
          </w:p>
        </w:tc>
        <w:tc>
          <w:tcPr>
            <w:tcW w:type="dxa" w:w="4876"/>
          </w:tcPr>
          <w:p>
            <w:r>
              <w:t>Confirm the quantity on the scanner. If the location is short, pick what is there, report the shortage on the scanner, and move on. Do not take from the next location.</w:t>
            </w:r>
          </w:p>
        </w:tc>
        <w:tc>
          <w:tcPr>
            <w:tcW w:type="dxa" w:w="4025"/>
          </w:tcPr>
          <w:p>
            <w:r>
              <w:t>A short reported now is a count fixed today. A substitute from the next slot is two errors.</w:t>
            </w:r>
          </w:p>
        </w:tc>
      </w:tr>
      <w:tr>
        <w:tc>
          <w:tcPr>
            <w:tcW w:type="dxa" w:w="737"/>
          </w:tcPr>
          <w:p>
            <w:r>
              <w:t>6</w:t>
            </w:r>
          </w:p>
        </w:tc>
        <w:tc>
          <w:tcPr>
            <w:tcW w:type="dxa" w:w="4876"/>
          </w:tcPr>
          <w:p>
            <w:r>
              <w:t>At the end of the order, scan the tote or pallet label to close it. Move it to the packing lane.</w:t>
            </w:r>
          </w:p>
        </w:tc>
        <w:tc>
          <w:tcPr>
            <w:tcW w:type="dxa" w:w="4025"/>
          </w:tcPr>
          <w:p>
            <w:r/>
          </w:p>
        </w:tc>
      </w:tr>
      <w:tr>
        <w:tc>
          <w:tcPr>
            <w:tcW w:type="dxa" w:w="737"/>
          </w:tcPr>
          <w:p>
            <w:r>
              <w:t>7</w:t>
            </w:r>
          </w:p>
        </w:tc>
        <w:tc>
          <w:tcPr>
            <w:tcW w:type="dxa" w:w="4876"/>
          </w:tcPr>
          <w:p>
            <w:r>
              <w:t>Return the cart. Report any empty pick face, broken label or blocked aisle to the team leader.</w:t>
            </w:r>
          </w:p>
        </w:tc>
        <w:tc>
          <w:tcPr>
            <w:tcW w:type="dxa" w:w="4025"/>
          </w:tcPr>
          <w:p>
            <w:r/>
          </w:p>
        </w:tc>
      </w:tr>
    </w:tbl>
    <w:p>
      <w:pPr>
        <w:pStyle w:val="Heading2"/>
      </w:pPr>
      <w:r>
        <w:rPr>
          <w:color w:val="14532D"/>
        </w:rPr>
        <w:t>5. Checks and records</w:t>
      </w:r>
    </w:p>
    <w:p>
      <w:r>
        <w:t>Pick confirmation per line in the WMS; short-pick log; damaged stock tags.</w:t>
      </w:r>
    </w:p>
    <w:p>
      <w:pPr>
        <w:pStyle w:val="Heading2"/>
      </w:pPr>
      <w:r>
        <w:rPr>
          <w:color w:val="14532D"/>
        </w:rPr>
        <w:t>6. References</w:t>
      </w:r>
    </w:p>
    <w:p>
      <w:r>
        <w:t>Your WMS procedure; NIOSH lifting guidance for the weight limits.</w:t>
      </w:r>
    </w:p>
    <w:p>
      <w:pPr>
        <w:pStyle w:val="Heading2"/>
      </w:pPr>
      <w:r>
        <w:rPr>
          <w:color w:val="14532D"/>
        </w:rPr>
        <w:t>7. Training sign-off</w:t>
      </w:r>
    </w:p>
    <w:tbl>
      <w:tblPr>
        <w:tblStyle w:val="TableGrid"/>
        <w:tblW w:type="auto" w:w="0"/>
        <w:tblLook w:firstColumn="1" w:firstRow="1" w:lastColumn="0" w:lastRow="0" w:noHBand="0" w:noVBand="1" w:val="04A0"/>
      </w:tblPr>
      <w:tblGrid>
        <w:gridCol w:w="2493"/>
        <w:gridCol w:w="2493"/>
        <w:gridCol w:w="2493"/>
        <w:gridCol w:w="2493"/>
      </w:tblGrid>
      <w:tr>
        <w:tc>
          <w:tcPr>
            <w:tcW w:type="dxa" w:w="2493"/>
            <w:shd w:val="clear" w:color="auto" w:fill="E9F7D8"/>
          </w:tcPr>
          <w:p>
            <w:r/>
            <w:r>
              <w:rPr>
                <w:b/>
                <w:color w:val="14532D"/>
              </w:rPr>
              <w:t>Name</w:t>
            </w:r>
          </w:p>
        </w:tc>
        <w:tc>
          <w:tcPr>
            <w:tcW w:type="dxa" w:w="2493"/>
            <w:shd w:val="clear" w:color="auto" w:fill="E9F7D8"/>
          </w:tcPr>
          <w:p>
            <w:r/>
            <w:r>
              <w:rPr>
                <w:b/>
                <w:color w:val="14532D"/>
              </w:rPr>
              <w:t>Date</w:t>
            </w:r>
          </w:p>
        </w:tc>
        <w:tc>
          <w:tcPr>
            <w:tcW w:type="dxa" w:w="2493"/>
            <w:shd w:val="clear" w:color="auto" w:fill="E9F7D8"/>
          </w:tcPr>
          <w:p>
            <w:r/>
            <w:r>
              <w:rPr>
                <w:b/>
                <w:color w:val="14532D"/>
              </w:rPr>
              <w:t>Signature</w:t>
            </w:r>
          </w:p>
        </w:tc>
        <w:tc>
          <w:tcPr>
            <w:tcW w:type="dxa" w:w="2493"/>
            <w:shd w:val="clear" w:color="auto" w:fill="E9F7D8"/>
          </w:tcPr>
          <w:p>
            <w:r/>
            <w:r>
              <w:rPr>
                <w:b/>
                <w:color w:val="14532D"/>
              </w:rPr>
              <w:t>Trainer</w:t>
            </w:r>
          </w:p>
        </w:tc>
      </w:tr>
      <w:tr>
        <w:trPr>
          <w:trHeight w:val="482"/>
        </w:trPr>
        <w:tc>
          <w:tcPr>
            <w:tcW w:type="dxa" w:w="2493"/>
          </w:tcPr>
          <w:p/>
        </w:tc>
        <w:tc>
          <w:tcPr>
            <w:tcW w:type="dxa" w:w="2493"/>
          </w:tcPr>
          <w:p/>
        </w:tc>
        <w:tc>
          <w:tcPr>
            <w:tcW w:type="dxa" w:w="2493"/>
          </w:tcPr>
          <w:p/>
        </w:tc>
        <w:tc>
          <w:tcPr>
            <w:tcW w:type="dxa" w:w="2493"/>
          </w:tcPr>
          <w:p/>
        </w:tc>
      </w:tr>
      <w:tr>
        <w:trPr>
          <w:trHeight w:val="482"/>
        </w:trPr>
        <w:tc>
          <w:tcPr>
            <w:tcW w:type="dxa" w:w="2493"/>
          </w:tcPr>
          <w:p/>
        </w:tc>
        <w:tc>
          <w:tcPr>
            <w:tcW w:type="dxa" w:w="2493"/>
          </w:tcPr>
          <w:p/>
        </w:tc>
        <w:tc>
          <w:tcPr>
            <w:tcW w:type="dxa" w:w="2493"/>
          </w:tcPr>
          <w:p/>
        </w:tc>
        <w:tc>
          <w:tcPr>
            <w:tcW w:type="dxa" w:w="2493"/>
          </w:tcPr>
          <w:p/>
        </w:tc>
      </w:tr>
      <w:tr>
        <w:trPr>
          <w:trHeight w:val="482"/>
        </w:trPr>
        <w:tc>
          <w:tcPr>
            <w:tcW w:type="dxa" w:w="2493"/>
          </w:tcPr>
          <w:p/>
        </w:tc>
        <w:tc>
          <w:tcPr>
            <w:tcW w:type="dxa" w:w="2493"/>
          </w:tcPr>
          <w:p/>
        </w:tc>
        <w:tc>
          <w:tcPr>
            <w:tcW w:type="dxa" w:w="2493"/>
          </w:tcPr>
          <w:p/>
        </w:tc>
        <w:tc>
          <w:tcPr>
            <w:tcW w:type="dxa" w:w="2493"/>
          </w:tcPr>
          <w:p/>
        </w:tc>
      </w:tr>
      <w:tr>
        <w:trPr>
          <w:trHeight w:val="482"/>
        </w:trPr>
        <w:tc>
          <w:tcPr>
            <w:tcW w:type="dxa" w:w="2493"/>
          </w:tcPr>
          <w:p/>
        </w:tc>
        <w:tc>
          <w:tcPr>
            <w:tcW w:type="dxa" w:w="2493"/>
          </w:tcPr>
          <w:p/>
        </w:tc>
        <w:tc>
          <w:tcPr>
            <w:tcW w:type="dxa" w:w="2493"/>
          </w:tcPr>
          <w:p/>
        </w:tc>
        <w:tc>
          <w:tcPr>
            <w:tcW w:type="dxa" w:w="2493"/>
          </w:tcPr>
          <w:p/>
        </w:tc>
      </w:tr>
      <w:tr>
        <w:trPr>
          <w:trHeight w:val="482"/>
        </w:trPr>
        <w:tc>
          <w:tcPr>
            <w:tcW w:type="dxa" w:w="2493"/>
          </w:tcPr>
          <w:p/>
        </w:tc>
        <w:tc>
          <w:tcPr>
            <w:tcW w:type="dxa" w:w="2493"/>
          </w:tcPr>
          <w:p/>
        </w:tc>
        <w:tc>
          <w:tcPr>
            <w:tcW w:type="dxa" w:w="2493"/>
          </w:tcPr>
          <w:p/>
        </w:tc>
        <w:tc>
          <w:tcPr>
            <w:tcW w:type="dxa" w:w="2493"/>
          </w:tcPr>
          <w:p/>
        </w:tc>
      </w:tr>
      <w:tr>
        <w:trPr>
          <w:trHeight w:val="482"/>
        </w:trPr>
        <w:tc>
          <w:tcPr>
            <w:tcW w:type="dxa" w:w="2493"/>
          </w:tcPr>
          <w:p/>
        </w:tc>
        <w:tc>
          <w:tcPr>
            <w:tcW w:type="dxa" w:w="2493"/>
          </w:tcPr>
          <w:p/>
        </w:tc>
        <w:tc>
          <w:tcPr>
            <w:tcW w:type="dxa" w:w="2493"/>
          </w:tcPr>
          <w:p/>
        </w:tc>
        <w:tc>
          <w:tcPr>
            <w:tcW w:type="dxa" w:w="2493"/>
          </w:tcPr>
          <w:p/>
        </w:tc>
      </w:tr>
    </w:tbl>
    <w:p>
      <w:pPr>
        <w:pStyle w:val="Heading2"/>
      </w:pPr>
      <w:r>
        <w:rPr>
          <w:color w:val="14532D"/>
        </w:rPr>
        <w:t>Revision history</w:t>
      </w:r>
    </w:p>
    <w:tbl>
      <w:tblPr>
        <w:tblStyle w:val="TableGrid"/>
        <w:tblW w:type="auto" w:w="0"/>
        <w:tblLook w:firstColumn="1" w:firstRow="1" w:lastColumn="0" w:lastRow="0" w:noHBand="0" w:noVBand="1" w:val="04A0"/>
      </w:tblPr>
      <w:tblGrid>
        <w:gridCol w:w="2493"/>
        <w:gridCol w:w="2493"/>
        <w:gridCol w:w="2493"/>
        <w:gridCol w:w="2493"/>
      </w:tblGrid>
      <w:tr>
        <w:tc>
          <w:tcPr>
            <w:tcW w:type="dxa" w:w="2493"/>
            <w:shd w:val="clear" w:color="auto" w:fill="E9F7D8"/>
          </w:tcPr>
          <w:p>
            <w:r/>
            <w:r>
              <w:rPr>
                <w:b/>
                <w:color w:val="14532D"/>
              </w:rPr>
              <w:t>Version</w:t>
            </w:r>
          </w:p>
        </w:tc>
        <w:tc>
          <w:tcPr>
            <w:tcW w:type="dxa" w:w="2493"/>
            <w:shd w:val="clear" w:color="auto" w:fill="E9F7D8"/>
          </w:tcPr>
          <w:p>
            <w:r/>
            <w:r>
              <w:rPr>
                <w:b/>
                <w:color w:val="14532D"/>
              </w:rPr>
              <w:t>Date</w:t>
            </w:r>
          </w:p>
        </w:tc>
        <w:tc>
          <w:tcPr>
            <w:tcW w:type="dxa" w:w="2493"/>
            <w:shd w:val="clear" w:color="auto" w:fill="E9F7D8"/>
          </w:tcPr>
          <w:p>
            <w:r/>
            <w:r>
              <w:rPr>
                <w:b/>
                <w:color w:val="14532D"/>
              </w:rPr>
              <w:t>What changed</w:t>
            </w:r>
          </w:p>
        </w:tc>
        <w:tc>
          <w:tcPr>
            <w:tcW w:type="dxa" w:w="2493"/>
            <w:shd w:val="clear" w:color="auto" w:fill="E9F7D8"/>
          </w:tcPr>
          <w:p>
            <w:r/>
            <w:r>
              <w:rPr>
                <w:b/>
                <w:color w:val="14532D"/>
              </w:rPr>
              <w:t>Approved by</w:t>
            </w:r>
          </w:p>
        </w:tc>
      </w:tr>
      <w:tr>
        <w:tc>
          <w:tcPr>
            <w:tcW w:type="dxa" w:w="2493"/>
          </w:tcPr>
          <w:p>
            <w:r>
              <w:t>1.0</w:t>
            </w:r>
          </w:p>
        </w:tc>
        <w:tc>
          <w:tcPr>
            <w:tcW w:type="dxa" w:w="2493"/>
          </w:tcPr>
          <w:p/>
        </w:tc>
        <w:tc>
          <w:tcPr>
            <w:tcW w:type="dxa" w:w="2493"/>
          </w:tcPr>
          <w:p>
            <w:r>
              <w:t>First issue</w:t>
            </w:r>
          </w:p>
        </w:tc>
        <w:tc>
          <w:tcPr>
            <w:tcW w:type="dxa" w:w="2493"/>
          </w:tcPr>
          <w:p/>
        </w:tc>
      </w:tr>
      <w:tr>
        <w:tc>
          <w:tcPr>
            <w:tcW w:type="dxa" w:w="2493"/>
          </w:tcPr>
          <w:p/>
        </w:tc>
        <w:tc>
          <w:tcPr>
            <w:tcW w:type="dxa" w:w="2493"/>
          </w:tcPr>
          <w:p/>
        </w:tc>
        <w:tc>
          <w:tcPr>
            <w:tcW w:type="dxa" w:w="2493"/>
          </w:tcPr>
          <w:p/>
        </w:tc>
        <w:tc>
          <w:tcPr>
            <w:tcW w:type="dxa" w:w="2493"/>
          </w:tcPr>
          <w:p/>
        </w:tc>
      </w:tr>
    </w:tbl>
    <w:p>
      <w:r>
        <w:br w:type="page"/>
      </w:r>
    </w:p>
    <w:p>
      <w:pPr>
        <w:pStyle w:val="Heading1"/>
      </w:pPr>
      <w:r>
        <w:rPr>
          <w:color w:val="14532D"/>
        </w:rPr>
        <w:t>Loading dock: securing a trailer</w:t>
      </w:r>
    </w:p>
    <w:tbl>
      <w:tblPr>
        <w:tblStyle w:val="TableGrid"/>
        <w:tblW w:type="auto" w:w="0"/>
        <w:jc w:val="center"/>
        <w:tblLook w:firstColumn="1" w:firstRow="1" w:lastColumn="0" w:lastRow="0" w:noHBand="0" w:noVBand="1" w:val="04A0"/>
      </w:tblPr>
      <w:tblGrid>
        <w:gridCol w:w="2493"/>
        <w:gridCol w:w="2493"/>
        <w:gridCol w:w="2493"/>
        <w:gridCol w:w="2493"/>
      </w:tblGrid>
      <w:tr>
        <w:tc>
          <w:tcPr>
            <w:tcW w:type="dxa" w:w="2041"/>
            <w:shd w:val="clear" w:color="auto" w:fill="E9F7D8"/>
          </w:tcPr>
          <w:p>
            <w:r/>
            <w:r>
              <w:rPr>
                <w:b/>
              </w:rPr>
              <w:t>SOP number</w:t>
            </w:r>
          </w:p>
        </w:tc>
        <w:tc>
          <w:tcPr>
            <w:tcW w:type="dxa" w:w="2778"/>
          </w:tcPr>
          <w:p/>
        </w:tc>
        <w:tc>
          <w:tcPr>
            <w:tcW w:type="dxa" w:w="2041"/>
            <w:shd w:val="clear" w:color="auto" w:fill="E9F7D8"/>
          </w:tcPr>
          <w:p>
            <w:r/>
            <w:r>
              <w:rPr>
                <w:b/>
              </w:rPr>
              <w:t>Version</w:t>
            </w:r>
          </w:p>
        </w:tc>
        <w:tc>
          <w:tcPr>
            <w:tcW w:type="dxa" w:w="2778"/>
          </w:tcPr>
          <w:p/>
        </w:tc>
      </w:tr>
      <w:tr>
        <w:tc>
          <w:tcPr>
            <w:tcW w:type="dxa" w:w="2041"/>
            <w:shd w:val="clear" w:color="auto" w:fill="E9F7D8"/>
          </w:tcPr>
          <w:p>
            <w:r/>
            <w:r>
              <w:rPr>
                <w:b/>
              </w:rPr>
              <w:t>Effective date</w:t>
            </w:r>
          </w:p>
        </w:tc>
        <w:tc>
          <w:tcPr>
            <w:tcW w:type="dxa" w:w="2778"/>
          </w:tcPr>
          <w:p/>
        </w:tc>
        <w:tc>
          <w:tcPr>
            <w:tcW w:type="dxa" w:w="2041"/>
            <w:shd w:val="clear" w:color="auto" w:fill="E9F7D8"/>
          </w:tcPr>
          <w:p>
            <w:r/>
            <w:r>
              <w:rPr>
                <w:b/>
              </w:rPr>
              <w:t>Owner</w:t>
            </w:r>
          </w:p>
        </w:tc>
        <w:tc>
          <w:tcPr>
            <w:tcW w:type="dxa" w:w="2778"/>
          </w:tcPr>
          <w:p/>
        </w:tc>
      </w:tr>
      <w:tr>
        <w:tc>
          <w:tcPr>
            <w:tcW w:type="dxa" w:w="2041"/>
            <w:shd w:val="clear" w:color="auto" w:fill="E9F7D8"/>
          </w:tcPr>
          <w:p>
            <w:r/>
            <w:r>
              <w:rPr>
                <w:b/>
              </w:rPr>
              <w:t>Approved by</w:t>
            </w:r>
          </w:p>
        </w:tc>
        <w:tc>
          <w:tcPr>
            <w:tcW w:type="dxa" w:w="2778"/>
          </w:tcPr>
          <w:p/>
        </w:tc>
        <w:tc>
          <w:tcPr>
            <w:tcW w:type="dxa" w:w="2041"/>
            <w:shd w:val="clear" w:color="auto" w:fill="E9F7D8"/>
          </w:tcPr>
          <w:p>
            <w:r/>
            <w:r>
              <w:rPr>
                <w:b/>
              </w:rPr>
              <w:t>Next review date</w:t>
            </w:r>
          </w:p>
        </w:tc>
        <w:tc>
          <w:tcPr>
            <w:tcW w:type="dxa" w:w="2778"/>
          </w:tcPr>
          <w:p/>
        </w:tc>
      </w:tr>
    </w:tbl>
    <w:p/>
    <w:tbl>
      <w:tblPr>
        <w:tblStyle w:val="TableGrid"/>
        <w:tblW w:type="auto" w:w="0"/>
        <w:tblLook w:firstColumn="1" w:firstRow="1" w:lastColumn="0" w:lastRow="0" w:noHBand="0" w:noVBand="1" w:val="04A0"/>
      </w:tblPr>
      <w:tblGrid>
        <w:gridCol w:w="2493"/>
        <w:gridCol w:w="2493"/>
        <w:gridCol w:w="2493"/>
        <w:gridCol w:w="2493"/>
      </w:tblGrid>
      <w:tr>
        <w:tc>
          <w:tcPr>
            <w:tcW w:type="dxa" w:w="1474"/>
            <w:shd w:val="clear" w:color="auto" w:fill="E9F7D8"/>
          </w:tcPr>
          <w:p>
            <w:r/>
            <w:r>
              <w:rPr>
                <w:b/>
              </w:rPr>
              <w:t>Area</w:t>
            </w:r>
          </w:p>
        </w:tc>
        <w:tc>
          <w:tcPr>
            <w:tcW w:type="dxa" w:w="3345"/>
          </w:tcPr>
          <w:p>
            <w:r>
              <w:t>Dock doors</w:t>
            </w:r>
          </w:p>
        </w:tc>
        <w:tc>
          <w:tcPr>
            <w:tcW w:type="dxa" w:w="1474"/>
            <w:shd w:val="clear" w:color="auto" w:fill="E9F7D8"/>
          </w:tcPr>
          <w:p>
            <w:r/>
            <w:r>
              <w:rPr>
                <w:b/>
              </w:rPr>
              <w:t>Done by</w:t>
            </w:r>
          </w:p>
        </w:tc>
        <w:tc>
          <w:tcPr>
            <w:tcW w:type="dxa" w:w="3345"/>
          </w:tcPr>
          <w:p>
            <w:r>
              <w:t>Dock operator; forklift operators</w:t>
            </w:r>
          </w:p>
        </w:tc>
      </w:tr>
    </w:tbl>
    <w:p>
      <w:pPr>
        <w:pStyle w:val="Heading2"/>
      </w:pPr>
      <w:r>
        <w:rPr>
          <w:color w:val="14532D"/>
        </w:rPr>
        <w:t>1. Purpose</w:t>
      </w:r>
    </w:p>
    <w:p>
      <w:r>
        <w:t>Stop a trailer moving or pulling away while someone is inside it with a forklift.</w:t>
      </w:r>
    </w:p>
    <w:p>
      <w:pPr>
        <w:pStyle w:val="Heading2"/>
      </w:pPr>
      <w:r>
        <w:rPr>
          <w:color w:val="14532D"/>
        </w:rPr>
        <w:t>2. Scope</w:t>
      </w:r>
    </w:p>
    <w:p>
      <w:r>
        <w:t>Every trailer at a dock door, inbound or outbound, whether the tractor is attached or not.</w:t>
      </w:r>
    </w:p>
    <w:p>
      <w:pPr>
        <w:pStyle w:val="Heading2"/>
      </w:pPr>
      <w:r>
        <w:rPr>
          <w:color w:val="14532D"/>
        </w:rPr>
        <w:t>3. Safety and PPE</w:t>
      </w:r>
    </w:p>
    <w:p>
      <w:pPr>
        <w:pStyle w:val="ListBullet"/>
      </w:pPr>
      <w:r>
        <w:t>Trailer creep and early pull-away are the two ways a forklift falls out of a trailer. Both are prevented by the same thing: the trailer is secured and the driver knows it.</w:t>
      </w:r>
    </w:p>
    <w:p>
      <w:pPr>
        <w:pStyle w:val="ListBullet"/>
      </w:pPr>
      <w:r>
        <w:t>Never jump across the gap between the dock and the trailer. Use the dock plate.</w:t>
      </w:r>
    </w:p>
    <w:p>
      <w:pPr>
        <w:pStyle w:val="Heading2"/>
      </w:pPr>
      <w:r>
        <w:rPr>
          <w:color w:val="14532D"/>
        </w:rPr>
        <w:t>4. Procedure</w:t>
      </w:r>
    </w:p>
    <w:tbl>
      <w:tblPr>
        <w:tblStyle w:val="TableGrid"/>
        <w:tblW w:type="auto" w:w="0"/>
        <w:tblLook w:firstColumn="1" w:firstRow="1" w:lastColumn="0" w:lastRow="0" w:noHBand="0" w:noVBand="1" w:val="04A0"/>
      </w:tblPr>
      <w:tblGrid>
        <w:gridCol w:w="3324"/>
        <w:gridCol w:w="3324"/>
        <w:gridCol w:w="3324"/>
      </w:tblGrid>
      <w:tr>
        <w:tc>
          <w:tcPr>
            <w:tcW w:type="dxa" w:w="737"/>
            <w:shd w:val="clear" w:color="auto" w:fill="E9F7D8"/>
          </w:tcPr>
          <w:p>
            <w:r/>
            <w:r>
              <w:rPr>
                <w:b/>
                <w:color w:val="14532D"/>
              </w:rPr>
              <w:t>Step</w:t>
            </w:r>
          </w:p>
        </w:tc>
        <w:tc>
          <w:tcPr>
            <w:tcW w:type="dxa" w:w="4876"/>
            <w:shd w:val="clear" w:color="auto" w:fill="E9F7D8"/>
          </w:tcPr>
          <w:p>
            <w:r/>
            <w:r>
              <w:rPr>
                <w:b/>
                <w:color w:val="14532D"/>
              </w:rPr>
              <w:t>Action</w:t>
            </w:r>
          </w:p>
        </w:tc>
        <w:tc>
          <w:tcPr>
            <w:tcW w:type="dxa" w:w="4025"/>
            <w:shd w:val="clear" w:color="auto" w:fill="E9F7D8"/>
          </w:tcPr>
          <w:p>
            <w:r/>
            <w:r>
              <w:rPr>
                <w:b/>
                <w:color w:val="14532D"/>
              </w:rPr>
              <w:t>Key point / warning</w:t>
            </w:r>
          </w:p>
        </w:tc>
      </w:tr>
      <w:tr>
        <w:tc>
          <w:tcPr>
            <w:tcW w:type="dxa" w:w="737"/>
          </w:tcPr>
          <w:p>
            <w:r>
              <w:t>1</w:t>
            </w:r>
          </w:p>
        </w:tc>
        <w:tc>
          <w:tcPr>
            <w:tcW w:type="dxa" w:w="4876"/>
          </w:tcPr>
          <w:p>
            <w:r>
              <w:t>Driver backs in. Dock operator signals the stop. Driver sets the trailer brakes and switches off the engine.</w:t>
            </w:r>
          </w:p>
        </w:tc>
        <w:tc>
          <w:tcPr>
            <w:tcW w:type="dxa" w:w="4025"/>
          </w:tcPr>
          <w:p>
            <w:r/>
          </w:p>
        </w:tc>
      </w:tr>
      <w:tr>
        <w:tc>
          <w:tcPr>
            <w:tcW w:type="dxa" w:w="737"/>
          </w:tcPr>
          <w:p>
            <w:r>
              <w:t>2</w:t>
            </w:r>
          </w:p>
        </w:tc>
        <w:tc>
          <w:tcPr>
            <w:tcW w:type="dxa" w:w="4876"/>
          </w:tcPr>
          <w:p>
            <w:r>
              <w:t>Engage the dock lock (vehicle restraint) and check the green light inside and the red light outside. If there is no dock lock, chock both rear wheels on the driver's side.</w:t>
            </w:r>
          </w:p>
        </w:tc>
        <w:tc>
          <w:tcPr>
            <w:tcW w:type="dxa" w:w="4025"/>
          </w:tcPr>
          <w:p>
            <w:r>
              <w:t>Lights not working: use chocks as well, and report the lock.</w:t>
            </w:r>
          </w:p>
        </w:tc>
      </w:tr>
      <w:tr>
        <w:tc>
          <w:tcPr>
            <w:tcW w:type="dxa" w:w="737"/>
          </w:tcPr>
          <w:p>
            <w:r>
              <w:t>3</w:t>
            </w:r>
          </w:p>
        </w:tc>
        <w:tc>
          <w:tcPr>
            <w:tcW w:type="dxa" w:w="4876"/>
          </w:tcPr>
          <w:p>
            <w:r>
              <w:t>Take the driver's keys, or operate the key-control box, so the tractor cannot leave. Give the driver the waiting area; drivers do not stand on the dock.</w:t>
            </w:r>
          </w:p>
        </w:tc>
        <w:tc>
          <w:tcPr>
            <w:tcW w:type="dxa" w:w="4025"/>
          </w:tcPr>
          <w:p>
            <w:r>
              <w:t>A driver in the cab with the keys is a trailer that can leave.</w:t>
            </w:r>
          </w:p>
        </w:tc>
      </w:tr>
      <w:tr>
        <w:tc>
          <w:tcPr>
            <w:tcW w:type="dxa" w:w="737"/>
          </w:tcPr>
          <w:p>
            <w:r>
              <w:t>4</w:t>
            </w:r>
          </w:p>
        </w:tc>
        <w:tc>
          <w:tcPr>
            <w:tcW w:type="dxa" w:w="4876"/>
          </w:tcPr>
          <w:p>
            <w:r>
              <w:t>Dropped trailer with no tractor: fit the trailer stand (jack) under the nose before any forklift enters. Check the landing gear is down and locked.</w:t>
            </w:r>
          </w:p>
        </w:tc>
        <w:tc>
          <w:tcPr>
            <w:tcW w:type="dxa" w:w="4025"/>
          </w:tcPr>
          <w:p>
            <w:r>
              <w:t>A forklift's weight at the nose of an unsupported trailer tips it.</w:t>
            </w:r>
          </w:p>
        </w:tc>
      </w:tr>
      <w:tr>
        <w:tc>
          <w:tcPr>
            <w:tcW w:type="dxa" w:w="737"/>
          </w:tcPr>
          <w:p>
            <w:r>
              <w:t>5</w:t>
            </w:r>
          </w:p>
        </w:tc>
        <w:tc>
          <w:tcPr>
            <w:tcW w:type="dxa" w:w="4876"/>
          </w:tcPr>
          <w:p>
            <w:r>
              <w:t>Open the doors. Look in with a light: floor condition, load shifted, anything that could fall. Check the trailer floor can take the forklift (holes, soft boards).</w:t>
            </w:r>
          </w:p>
        </w:tc>
        <w:tc>
          <w:tcPr>
            <w:tcW w:type="dxa" w:w="4025"/>
          </w:tcPr>
          <w:p>
            <w:r/>
          </w:p>
        </w:tc>
      </w:tr>
      <w:tr>
        <w:tc>
          <w:tcPr>
            <w:tcW w:type="dxa" w:w="737"/>
          </w:tcPr>
          <w:p>
            <w:r>
              <w:t>6</w:t>
            </w:r>
          </w:p>
        </w:tc>
        <w:tc>
          <w:tcPr>
            <w:tcW w:type="dxa" w:w="4876"/>
          </w:tcPr>
          <w:p>
            <w:r>
              <w:t>Set the dock plate or leveller and check it sits flat and fully on the trailer bed. Then begin loading or unloading.</w:t>
            </w:r>
          </w:p>
        </w:tc>
        <w:tc>
          <w:tcPr>
            <w:tcW w:type="dxa" w:w="4025"/>
          </w:tcPr>
          <w:p>
            <w:r/>
          </w:p>
        </w:tc>
      </w:tr>
      <w:tr>
        <w:tc>
          <w:tcPr>
            <w:tcW w:type="dxa" w:w="737"/>
          </w:tcPr>
          <w:p>
            <w:r>
              <w:t>7</w:t>
            </w:r>
          </w:p>
        </w:tc>
        <w:tc>
          <w:tcPr>
            <w:tcW w:type="dxa" w:w="4876"/>
          </w:tcPr>
          <w:p>
            <w:r>
              <w:t>When finished: forklift out, dock plate raised, door closed, then and only then release the dock lock or remove the chocks and return the keys.</w:t>
            </w:r>
          </w:p>
        </w:tc>
        <w:tc>
          <w:tcPr>
            <w:tcW w:type="dxa" w:w="4025"/>
          </w:tcPr>
          <w:p>
            <w:r>
              <w:t>In that order. The forklift is out before the trailer is free.</w:t>
            </w:r>
          </w:p>
        </w:tc>
      </w:tr>
    </w:tbl>
    <w:p>
      <w:pPr>
        <w:pStyle w:val="Heading2"/>
      </w:pPr>
      <w:r>
        <w:rPr>
          <w:color w:val="14532D"/>
        </w:rPr>
        <w:t>5. Checks and records</w:t>
      </w:r>
    </w:p>
    <w:p>
      <w:r>
        <w:t>Dock checklist per trailer: door, trailer number, restraint engaged (time), released (time), operator's initials.</w:t>
      </w:r>
    </w:p>
    <w:p>
      <w:pPr>
        <w:pStyle w:val="Heading2"/>
      </w:pPr>
      <w:r>
        <w:rPr>
          <w:color w:val="14532D"/>
        </w:rPr>
        <w:t>6. References</w:t>
      </w:r>
    </w:p>
    <w:p>
      <w:r>
        <w:t>OSHA 29 CFR 1910.178(k)(1) (brakes set and wheels chocked or restrained) and 1910.178(m)(7); UK HSE guidance on workplace transport.</w:t>
      </w:r>
    </w:p>
    <w:p>
      <w:pPr>
        <w:pStyle w:val="Heading2"/>
      </w:pPr>
      <w:r>
        <w:rPr>
          <w:color w:val="14532D"/>
        </w:rPr>
        <w:t>7. Training sign-off</w:t>
      </w:r>
    </w:p>
    <w:tbl>
      <w:tblPr>
        <w:tblStyle w:val="TableGrid"/>
        <w:tblW w:type="auto" w:w="0"/>
        <w:tblLook w:firstColumn="1" w:firstRow="1" w:lastColumn="0" w:lastRow="0" w:noHBand="0" w:noVBand="1" w:val="04A0"/>
      </w:tblPr>
      <w:tblGrid>
        <w:gridCol w:w="2493"/>
        <w:gridCol w:w="2493"/>
        <w:gridCol w:w="2493"/>
        <w:gridCol w:w="2493"/>
      </w:tblGrid>
      <w:tr>
        <w:tc>
          <w:tcPr>
            <w:tcW w:type="dxa" w:w="2493"/>
            <w:shd w:val="clear" w:color="auto" w:fill="E9F7D8"/>
          </w:tcPr>
          <w:p>
            <w:r/>
            <w:r>
              <w:rPr>
                <w:b/>
                <w:color w:val="14532D"/>
              </w:rPr>
              <w:t>Name</w:t>
            </w:r>
          </w:p>
        </w:tc>
        <w:tc>
          <w:tcPr>
            <w:tcW w:type="dxa" w:w="2493"/>
            <w:shd w:val="clear" w:color="auto" w:fill="E9F7D8"/>
          </w:tcPr>
          <w:p>
            <w:r/>
            <w:r>
              <w:rPr>
                <w:b/>
                <w:color w:val="14532D"/>
              </w:rPr>
              <w:t>Date</w:t>
            </w:r>
          </w:p>
        </w:tc>
        <w:tc>
          <w:tcPr>
            <w:tcW w:type="dxa" w:w="2493"/>
            <w:shd w:val="clear" w:color="auto" w:fill="E9F7D8"/>
          </w:tcPr>
          <w:p>
            <w:r/>
            <w:r>
              <w:rPr>
                <w:b/>
                <w:color w:val="14532D"/>
              </w:rPr>
              <w:t>Signature</w:t>
            </w:r>
          </w:p>
        </w:tc>
        <w:tc>
          <w:tcPr>
            <w:tcW w:type="dxa" w:w="2493"/>
            <w:shd w:val="clear" w:color="auto" w:fill="E9F7D8"/>
          </w:tcPr>
          <w:p>
            <w:r/>
            <w:r>
              <w:rPr>
                <w:b/>
                <w:color w:val="14532D"/>
              </w:rPr>
              <w:t>Trainer</w:t>
            </w:r>
          </w:p>
        </w:tc>
      </w:tr>
      <w:tr>
        <w:trPr>
          <w:trHeight w:val="482"/>
        </w:trPr>
        <w:tc>
          <w:tcPr>
            <w:tcW w:type="dxa" w:w="2493"/>
          </w:tcPr>
          <w:p/>
        </w:tc>
        <w:tc>
          <w:tcPr>
            <w:tcW w:type="dxa" w:w="2493"/>
          </w:tcPr>
          <w:p/>
        </w:tc>
        <w:tc>
          <w:tcPr>
            <w:tcW w:type="dxa" w:w="2493"/>
          </w:tcPr>
          <w:p/>
        </w:tc>
        <w:tc>
          <w:tcPr>
            <w:tcW w:type="dxa" w:w="2493"/>
          </w:tcPr>
          <w:p/>
        </w:tc>
      </w:tr>
      <w:tr>
        <w:trPr>
          <w:trHeight w:val="482"/>
        </w:trPr>
        <w:tc>
          <w:tcPr>
            <w:tcW w:type="dxa" w:w="2493"/>
          </w:tcPr>
          <w:p/>
        </w:tc>
        <w:tc>
          <w:tcPr>
            <w:tcW w:type="dxa" w:w="2493"/>
          </w:tcPr>
          <w:p/>
        </w:tc>
        <w:tc>
          <w:tcPr>
            <w:tcW w:type="dxa" w:w="2493"/>
          </w:tcPr>
          <w:p/>
        </w:tc>
        <w:tc>
          <w:tcPr>
            <w:tcW w:type="dxa" w:w="2493"/>
          </w:tcPr>
          <w:p/>
        </w:tc>
      </w:tr>
      <w:tr>
        <w:trPr>
          <w:trHeight w:val="482"/>
        </w:trPr>
        <w:tc>
          <w:tcPr>
            <w:tcW w:type="dxa" w:w="2493"/>
          </w:tcPr>
          <w:p/>
        </w:tc>
        <w:tc>
          <w:tcPr>
            <w:tcW w:type="dxa" w:w="2493"/>
          </w:tcPr>
          <w:p/>
        </w:tc>
        <w:tc>
          <w:tcPr>
            <w:tcW w:type="dxa" w:w="2493"/>
          </w:tcPr>
          <w:p/>
        </w:tc>
        <w:tc>
          <w:tcPr>
            <w:tcW w:type="dxa" w:w="2493"/>
          </w:tcPr>
          <w:p/>
        </w:tc>
      </w:tr>
      <w:tr>
        <w:trPr>
          <w:trHeight w:val="482"/>
        </w:trPr>
        <w:tc>
          <w:tcPr>
            <w:tcW w:type="dxa" w:w="2493"/>
          </w:tcPr>
          <w:p/>
        </w:tc>
        <w:tc>
          <w:tcPr>
            <w:tcW w:type="dxa" w:w="2493"/>
          </w:tcPr>
          <w:p/>
        </w:tc>
        <w:tc>
          <w:tcPr>
            <w:tcW w:type="dxa" w:w="2493"/>
          </w:tcPr>
          <w:p/>
        </w:tc>
        <w:tc>
          <w:tcPr>
            <w:tcW w:type="dxa" w:w="2493"/>
          </w:tcPr>
          <w:p/>
        </w:tc>
      </w:tr>
      <w:tr>
        <w:trPr>
          <w:trHeight w:val="482"/>
        </w:trPr>
        <w:tc>
          <w:tcPr>
            <w:tcW w:type="dxa" w:w="2493"/>
          </w:tcPr>
          <w:p/>
        </w:tc>
        <w:tc>
          <w:tcPr>
            <w:tcW w:type="dxa" w:w="2493"/>
          </w:tcPr>
          <w:p/>
        </w:tc>
        <w:tc>
          <w:tcPr>
            <w:tcW w:type="dxa" w:w="2493"/>
          </w:tcPr>
          <w:p/>
        </w:tc>
        <w:tc>
          <w:tcPr>
            <w:tcW w:type="dxa" w:w="2493"/>
          </w:tcPr>
          <w:p/>
        </w:tc>
      </w:tr>
      <w:tr>
        <w:trPr>
          <w:trHeight w:val="482"/>
        </w:trPr>
        <w:tc>
          <w:tcPr>
            <w:tcW w:type="dxa" w:w="2493"/>
          </w:tcPr>
          <w:p/>
        </w:tc>
        <w:tc>
          <w:tcPr>
            <w:tcW w:type="dxa" w:w="2493"/>
          </w:tcPr>
          <w:p/>
        </w:tc>
        <w:tc>
          <w:tcPr>
            <w:tcW w:type="dxa" w:w="2493"/>
          </w:tcPr>
          <w:p/>
        </w:tc>
        <w:tc>
          <w:tcPr>
            <w:tcW w:type="dxa" w:w="2493"/>
          </w:tcPr>
          <w:p/>
        </w:tc>
      </w:tr>
    </w:tbl>
    <w:p>
      <w:pPr>
        <w:pStyle w:val="Heading2"/>
      </w:pPr>
      <w:r>
        <w:rPr>
          <w:color w:val="14532D"/>
        </w:rPr>
        <w:t>Revision history</w:t>
      </w:r>
    </w:p>
    <w:tbl>
      <w:tblPr>
        <w:tblStyle w:val="TableGrid"/>
        <w:tblW w:type="auto" w:w="0"/>
        <w:tblLook w:firstColumn="1" w:firstRow="1" w:lastColumn="0" w:lastRow="0" w:noHBand="0" w:noVBand="1" w:val="04A0"/>
      </w:tblPr>
      <w:tblGrid>
        <w:gridCol w:w="2493"/>
        <w:gridCol w:w="2493"/>
        <w:gridCol w:w="2493"/>
        <w:gridCol w:w="2493"/>
      </w:tblGrid>
      <w:tr>
        <w:tc>
          <w:tcPr>
            <w:tcW w:type="dxa" w:w="2493"/>
            <w:shd w:val="clear" w:color="auto" w:fill="E9F7D8"/>
          </w:tcPr>
          <w:p>
            <w:r/>
            <w:r>
              <w:rPr>
                <w:b/>
                <w:color w:val="14532D"/>
              </w:rPr>
              <w:t>Version</w:t>
            </w:r>
          </w:p>
        </w:tc>
        <w:tc>
          <w:tcPr>
            <w:tcW w:type="dxa" w:w="2493"/>
            <w:shd w:val="clear" w:color="auto" w:fill="E9F7D8"/>
          </w:tcPr>
          <w:p>
            <w:r/>
            <w:r>
              <w:rPr>
                <w:b/>
                <w:color w:val="14532D"/>
              </w:rPr>
              <w:t>Date</w:t>
            </w:r>
          </w:p>
        </w:tc>
        <w:tc>
          <w:tcPr>
            <w:tcW w:type="dxa" w:w="2493"/>
            <w:shd w:val="clear" w:color="auto" w:fill="E9F7D8"/>
          </w:tcPr>
          <w:p>
            <w:r/>
            <w:r>
              <w:rPr>
                <w:b/>
                <w:color w:val="14532D"/>
              </w:rPr>
              <w:t>What changed</w:t>
            </w:r>
          </w:p>
        </w:tc>
        <w:tc>
          <w:tcPr>
            <w:tcW w:type="dxa" w:w="2493"/>
            <w:shd w:val="clear" w:color="auto" w:fill="E9F7D8"/>
          </w:tcPr>
          <w:p>
            <w:r/>
            <w:r>
              <w:rPr>
                <w:b/>
                <w:color w:val="14532D"/>
              </w:rPr>
              <w:t>Approved by</w:t>
            </w:r>
          </w:p>
        </w:tc>
      </w:tr>
      <w:tr>
        <w:tc>
          <w:tcPr>
            <w:tcW w:type="dxa" w:w="2493"/>
          </w:tcPr>
          <w:p>
            <w:r>
              <w:t>1.0</w:t>
            </w:r>
          </w:p>
        </w:tc>
        <w:tc>
          <w:tcPr>
            <w:tcW w:type="dxa" w:w="2493"/>
          </w:tcPr>
          <w:p/>
        </w:tc>
        <w:tc>
          <w:tcPr>
            <w:tcW w:type="dxa" w:w="2493"/>
          </w:tcPr>
          <w:p>
            <w:r>
              <w:t>First issue</w:t>
            </w:r>
          </w:p>
        </w:tc>
        <w:tc>
          <w:tcPr>
            <w:tcW w:type="dxa" w:w="2493"/>
          </w:tcPr>
          <w:p/>
        </w:tc>
      </w:tr>
      <w:tr>
        <w:tc>
          <w:tcPr>
            <w:tcW w:type="dxa" w:w="2493"/>
          </w:tcPr>
          <w:p/>
        </w:tc>
        <w:tc>
          <w:tcPr>
            <w:tcW w:type="dxa" w:w="2493"/>
          </w:tcPr>
          <w:p/>
        </w:tc>
        <w:tc>
          <w:tcPr>
            <w:tcW w:type="dxa" w:w="2493"/>
          </w:tcPr>
          <w:p/>
        </w:tc>
        <w:tc>
          <w:tcPr>
            <w:tcW w:type="dxa" w:w="2493"/>
          </w:tcPr>
          <w:p/>
        </w:tc>
      </w:tr>
    </w:tbl>
    <w:p>
      <w:r>
        <w:br w:type="page"/>
      </w:r>
    </w:p>
    <w:p>
      <w:pPr>
        <w:pStyle w:val="Heading1"/>
      </w:pPr>
      <w:r>
        <w:rPr>
          <w:color w:val="14532D"/>
        </w:rPr>
        <w:t>Racking inspection</w:t>
      </w:r>
    </w:p>
    <w:tbl>
      <w:tblPr>
        <w:tblStyle w:val="TableGrid"/>
        <w:tblW w:type="auto" w:w="0"/>
        <w:jc w:val="center"/>
        <w:tblLook w:firstColumn="1" w:firstRow="1" w:lastColumn="0" w:lastRow="0" w:noHBand="0" w:noVBand="1" w:val="04A0"/>
      </w:tblPr>
      <w:tblGrid>
        <w:gridCol w:w="2493"/>
        <w:gridCol w:w="2493"/>
        <w:gridCol w:w="2493"/>
        <w:gridCol w:w="2493"/>
      </w:tblGrid>
      <w:tr>
        <w:tc>
          <w:tcPr>
            <w:tcW w:type="dxa" w:w="2041"/>
            <w:shd w:val="clear" w:color="auto" w:fill="E9F7D8"/>
          </w:tcPr>
          <w:p>
            <w:r/>
            <w:r>
              <w:rPr>
                <w:b/>
              </w:rPr>
              <w:t>SOP number</w:t>
            </w:r>
          </w:p>
        </w:tc>
        <w:tc>
          <w:tcPr>
            <w:tcW w:type="dxa" w:w="2778"/>
          </w:tcPr>
          <w:p/>
        </w:tc>
        <w:tc>
          <w:tcPr>
            <w:tcW w:type="dxa" w:w="2041"/>
            <w:shd w:val="clear" w:color="auto" w:fill="E9F7D8"/>
          </w:tcPr>
          <w:p>
            <w:r/>
            <w:r>
              <w:rPr>
                <w:b/>
              </w:rPr>
              <w:t>Version</w:t>
            </w:r>
          </w:p>
        </w:tc>
        <w:tc>
          <w:tcPr>
            <w:tcW w:type="dxa" w:w="2778"/>
          </w:tcPr>
          <w:p/>
        </w:tc>
      </w:tr>
      <w:tr>
        <w:tc>
          <w:tcPr>
            <w:tcW w:type="dxa" w:w="2041"/>
            <w:shd w:val="clear" w:color="auto" w:fill="E9F7D8"/>
          </w:tcPr>
          <w:p>
            <w:r/>
            <w:r>
              <w:rPr>
                <w:b/>
              </w:rPr>
              <w:t>Effective date</w:t>
            </w:r>
          </w:p>
        </w:tc>
        <w:tc>
          <w:tcPr>
            <w:tcW w:type="dxa" w:w="2778"/>
          </w:tcPr>
          <w:p/>
        </w:tc>
        <w:tc>
          <w:tcPr>
            <w:tcW w:type="dxa" w:w="2041"/>
            <w:shd w:val="clear" w:color="auto" w:fill="E9F7D8"/>
          </w:tcPr>
          <w:p>
            <w:r/>
            <w:r>
              <w:rPr>
                <w:b/>
              </w:rPr>
              <w:t>Owner</w:t>
            </w:r>
          </w:p>
        </w:tc>
        <w:tc>
          <w:tcPr>
            <w:tcW w:type="dxa" w:w="2778"/>
          </w:tcPr>
          <w:p/>
        </w:tc>
      </w:tr>
      <w:tr>
        <w:tc>
          <w:tcPr>
            <w:tcW w:type="dxa" w:w="2041"/>
            <w:shd w:val="clear" w:color="auto" w:fill="E9F7D8"/>
          </w:tcPr>
          <w:p>
            <w:r/>
            <w:r>
              <w:rPr>
                <w:b/>
              </w:rPr>
              <w:t>Approved by</w:t>
            </w:r>
          </w:p>
        </w:tc>
        <w:tc>
          <w:tcPr>
            <w:tcW w:type="dxa" w:w="2778"/>
          </w:tcPr>
          <w:p/>
        </w:tc>
        <w:tc>
          <w:tcPr>
            <w:tcW w:type="dxa" w:w="2041"/>
            <w:shd w:val="clear" w:color="auto" w:fill="E9F7D8"/>
          </w:tcPr>
          <w:p>
            <w:r/>
            <w:r>
              <w:rPr>
                <w:b/>
              </w:rPr>
              <w:t>Next review date</w:t>
            </w:r>
          </w:p>
        </w:tc>
        <w:tc>
          <w:tcPr>
            <w:tcW w:type="dxa" w:w="2778"/>
          </w:tcPr>
          <w:p/>
        </w:tc>
      </w:tr>
    </w:tbl>
    <w:p/>
    <w:tbl>
      <w:tblPr>
        <w:tblStyle w:val="TableGrid"/>
        <w:tblW w:type="auto" w:w="0"/>
        <w:tblLook w:firstColumn="1" w:firstRow="1" w:lastColumn="0" w:lastRow="0" w:noHBand="0" w:noVBand="1" w:val="04A0"/>
      </w:tblPr>
      <w:tblGrid>
        <w:gridCol w:w="2493"/>
        <w:gridCol w:w="2493"/>
        <w:gridCol w:w="2493"/>
        <w:gridCol w:w="2493"/>
      </w:tblGrid>
      <w:tr>
        <w:tc>
          <w:tcPr>
            <w:tcW w:type="dxa" w:w="1474"/>
            <w:shd w:val="clear" w:color="auto" w:fill="E9F7D8"/>
          </w:tcPr>
          <w:p>
            <w:r/>
            <w:r>
              <w:rPr>
                <w:b/>
              </w:rPr>
              <w:t>Area</w:t>
            </w:r>
          </w:p>
        </w:tc>
        <w:tc>
          <w:tcPr>
            <w:tcW w:type="dxa" w:w="3345"/>
          </w:tcPr>
          <w:p>
            <w:r>
              <w:t>All racking</w:t>
            </w:r>
          </w:p>
        </w:tc>
        <w:tc>
          <w:tcPr>
            <w:tcW w:type="dxa" w:w="1474"/>
            <w:shd w:val="clear" w:color="auto" w:fill="E9F7D8"/>
          </w:tcPr>
          <w:p>
            <w:r/>
            <w:r>
              <w:rPr>
                <w:b/>
              </w:rPr>
              <w:t>Done by</w:t>
            </w:r>
          </w:p>
        </w:tc>
        <w:tc>
          <w:tcPr>
            <w:tcW w:type="dxa" w:w="3345"/>
          </w:tcPr>
          <w:p>
            <w:r>
              <w:t>Weekly: trained warehouse supervisor. Annually: a competent rack inspector</w:t>
            </w:r>
          </w:p>
        </w:tc>
      </w:tr>
    </w:tbl>
    <w:p>
      <w:pPr>
        <w:pStyle w:val="Heading2"/>
      </w:pPr>
      <w:r>
        <w:rPr>
          <w:color w:val="14532D"/>
        </w:rPr>
        <w:t>1. Purpose</w:t>
      </w:r>
    </w:p>
    <w:p>
      <w:r>
        <w:t>Find damaged racking before the damage becomes a collapse.</w:t>
      </w:r>
    </w:p>
    <w:p>
      <w:pPr>
        <w:pStyle w:val="Heading2"/>
      </w:pPr>
      <w:r>
        <w:rPr>
          <w:color w:val="14532D"/>
        </w:rPr>
        <w:t>2. Scope</w:t>
      </w:r>
    </w:p>
    <w:p>
      <w:r>
        <w:t>All pallet racking, cantilever racking and mezzanine edge protection. The weekly walk is visual from the floor; the annual inspection is a full survey.</w:t>
      </w:r>
    </w:p>
    <w:p>
      <w:pPr>
        <w:pStyle w:val="Heading2"/>
      </w:pPr>
      <w:r>
        <w:rPr>
          <w:color w:val="14532D"/>
        </w:rPr>
        <w:t>3. Safety and PPE</w:t>
      </w:r>
    </w:p>
    <w:p>
      <w:pPr>
        <w:pStyle w:val="ListBullet"/>
      </w:pPr>
      <w:r>
        <w:t>Damaged racking is not repaired by straightening it. A bent upright has lost strength and is replaced.</w:t>
      </w:r>
    </w:p>
    <w:p>
      <w:pPr>
        <w:pStyle w:val="Heading2"/>
      </w:pPr>
      <w:r>
        <w:rPr>
          <w:color w:val="14532D"/>
        </w:rPr>
        <w:t>4. Procedure</w:t>
      </w:r>
    </w:p>
    <w:tbl>
      <w:tblPr>
        <w:tblStyle w:val="TableGrid"/>
        <w:tblW w:type="auto" w:w="0"/>
        <w:tblLook w:firstColumn="1" w:firstRow="1" w:lastColumn="0" w:lastRow="0" w:noHBand="0" w:noVBand="1" w:val="04A0"/>
      </w:tblPr>
      <w:tblGrid>
        <w:gridCol w:w="3324"/>
        <w:gridCol w:w="3324"/>
        <w:gridCol w:w="3324"/>
      </w:tblGrid>
      <w:tr>
        <w:tc>
          <w:tcPr>
            <w:tcW w:type="dxa" w:w="737"/>
            <w:shd w:val="clear" w:color="auto" w:fill="E9F7D8"/>
          </w:tcPr>
          <w:p>
            <w:r/>
            <w:r>
              <w:rPr>
                <w:b/>
                <w:color w:val="14532D"/>
              </w:rPr>
              <w:t>Step</w:t>
            </w:r>
          </w:p>
        </w:tc>
        <w:tc>
          <w:tcPr>
            <w:tcW w:type="dxa" w:w="4876"/>
            <w:shd w:val="clear" w:color="auto" w:fill="E9F7D8"/>
          </w:tcPr>
          <w:p>
            <w:r/>
            <w:r>
              <w:rPr>
                <w:b/>
                <w:color w:val="14532D"/>
              </w:rPr>
              <w:t>Action</w:t>
            </w:r>
          </w:p>
        </w:tc>
        <w:tc>
          <w:tcPr>
            <w:tcW w:type="dxa" w:w="4025"/>
            <w:shd w:val="clear" w:color="auto" w:fill="E9F7D8"/>
          </w:tcPr>
          <w:p>
            <w:r/>
            <w:r>
              <w:rPr>
                <w:b/>
                <w:color w:val="14532D"/>
              </w:rPr>
              <w:t>Key point / warning</w:t>
            </w:r>
          </w:p>
        </w:tc>
      </w:tr>
      <w:tr>
        <w:tc>
          <w:tcPr>
            <w:tcW w:type="dxa" w:w="737"/>
          </w:tcPr>
          <w:p>
            <w:r>
              <w:t>1</w:t>
            </w:r>
          </w:p>
        </w:tc>
        <w:tc>
          <w:tcPr>
            <w:tcW w:type="dxa" w:w="4876"/>
          </w:tcPr>
          <w:p>
            <w:r>
              <w:t>Walk every aisle with the inspection form. Look at each upright from the floor: bends, dents, twists, missing footplates, loose floor bolts.</w:t>
            </w:r>
          </w:p>
        </w:tc>
        <w:tc>
          <w:tcPr>
            <w:tcW w:type="dxa" w:w="4025"/>
          </w:tcPr>
          <w:p>
            <w:r>
              <w:t>Use a 1-metre straight edge against the upright. A bend of more than 5 mm over the metre in the direction of the beams (along the aisle), or more than 3 mm front-to-back in the plane of the frame bracing, is an amber. Twice that — 10 mm / 6 mm — is a red (SEMA figures; RMI uses similar criteria).</w:t>
            </w:r>
          </w:p>
        </w:tc>
      </w:tr>
      <w:tr>
        <w:tc>
          <w:tcPr>
            <w:tcW w:type="dxa" w:w="737"/>
          </w:tcPr>
          <w:p>
            <w:r>
              <w:t>2</w:t>
            </w:r>
          </w:p>
        </w:tc>
        <w:tc>
          <w:tcPr>
            <w:tcW w:type="dxa" w:w="4876"/>
          </w:tcPr>
          <w:p>
            <w:r>
              <w:t>Look at each beam: deflection that does not recover when unloaded, missing or damaged beam locks, beams not seated in the upright.</w:t>
            </w:r>
          </w:p>
        </w:tc>
        <w:tc>
          <w:tcPr>
            <w:tcW w:type="dxa" w:w="4025"/>
          </w:tcPr>
          <w:p>
            <w:r>
              <w:t>A beam without both safety locks can be lifted out by a fork. Fit the lock before you leave the aisle.</w:t>
            </w:r>
          </w:p>
        </w:tc>
      </w:tr>
      <w:tr>
        <w:tc>
          <w:tcPr>
            <w:tcW w:type="dxa" w:w="737"/>
          </w:tcPr>
          <w:p>
            <w:r>
              <w:t>3</w:t>
            </w:r>
          </w:p>
        </w:tc>
        <w:tc>
          <w:tcPr>
            <w:tcW w:type="dxa" w:w="4876"/>
          </w:tcPr>
          <w:p>
            <w:r>
              <w:t>Check the load notices are present and readable on every run, and that pallets do not exceed the stated load or height.</w:t>
            </w:r>
          </w:p>
        </w:tc>
        <w:tc>
          <w:tcPr>
            <w:tcW w:type="dxa" w:w="4025"/>
          </w:tcPr>
          <w:p>
            <w:r/>
          </w:p>
        </w:tc>
      </w:tr>
      <w:tr>
        <w:tc>
          <w:tcPr>
            <w:tcW w:type="dxa" w:w="737"/>
          </w:tcPr>
          <w:p>
            <w:r>
              <w:t>4</w:t>
            </w:r>
          </w:p>
        </w:tc>
        <w:tc>
          <w:tcPr>
            <w:tcW w:type="dxa" w:w="4876"/>
          </w:tcPr>
          <w:p>
            <w:r>
              <w:t>Check column guards, end-of-aisle barriers and row spacers are in place and not themselves bent into the upright.</w:t>
            </w:r>
          </w:p>
        </w:tc>
        <w:tc>
          <w:tcPr>
            <w:tcW w:type="dxa" w:w="4025"/>
          </w:tcPr>
          <w:p>
            <w:r/>
          </w:p>
        </w:tc>
      </w:tr>
      <w:tr>
        <w:tc>
          <w:tcPr>
            <w:tcW w:type="dxa" w:w="737"/>
          </w:tcPr>
          <w:p>
            <w:r>
              <w:t>5</w:t>
            </w:r>
          </w:p>
        </w:tc>
        <w:tc>
          <w:tcPr>
            <w:tcW w:type="dxa" w:w="4876"/>
          </w:tcPr>
          <w:p>
            <w:r>
              <w:t>Amber damage: tag it, order the repair, and once the bay is unloaded do not reload it; the repair is due within 4 weeks. Red damage: unload the bay and the adjoining bays at once and cordon the aisle until repaired.</w:t>
            </w:r>
          </w:p>
        </w:tc>
        <w:tc>
          <w:tcPr>
            <w:tcW w:type="dxa" w:w="4025"/>
          </w:tcPr>
          <w:p>
            <w:r>
              <w:t>The person who finds red damage makes the aisle safe; they do not wait for the manager.</w:t>
            </w:r>
          </w:p>
        </w:tc>
      </w:tr>
      <w:tr>
        <w:tc>
          <w:tcPr>
            <w:tcW w:type="dxa" w:w="737"/>
          </w:tcPr>
          <w:p>
            <w:r>
              <w:t>6</w:t>
            </w:r>
          </w:p>
        </w:tc>
        <w:tc>
          <w:tcPr>
            <w:tcW w:type="dxa" w:w="4876"/>
          </w:tcPr>
          <w:p>
            <w:r>
              <w:t>Record every item on the inspection form with the location code. Review open items at the weekly meeting until closed.</w:t>
            </w:r>
          </w:p>
        </w:tc>
        <w:tc>
          <w:tcPr>
            <w:tcW w:type="dxa" w:w="4025"/>
          </w:tcPr>
          <w:p>
            <w:r/>
          </w:p>
        </w:tc>
      </w:tr>
      <w:tr>
        <w:tc>
          <w:tcPr>
            <w:tcW w:type="dxa" w:w="737"/>
          </w:tcPr>
          <w:p>
            <w:r>
              <w:t>7</w:t>
            </w:r>
          </w:p>
        </w:tc>
        <w:tc>
          <w:tcPr>
            <w:tcW w:type="dxa" w:w="4876"/>
          </w:tcPr>
          <w:p>
            <w:r>
              <w:t>Annual: a competent person (rack supplier or SEMA/RMI-approved inspector) surveys every bay and issues a report. Act on it in the stated timescales.</w:t>
            </w:r>
          </w:p>
        </w:tc>
        <w:tc>
          <w:tcPr>
            <w:tcW w:type="dxa" w:w="4025"/>
          </w:tcPr>
          <w:p>
            <w:r/>
          </w:p>
        </w:tc>
      </w:tr>
    </w:tbl>
    <w:p>
      <w:pPr>
        <w:pStyle w:val="Heading2"/>
      </w:pPr>
      <w:r>
        <w:rPr>
          <w:color w:val="14532D"/>
        </w:rPr>
        <w:t>5. Checks and records</w:t>
      </w:r>
    </w:p>
    <w:p>
      <w:r>
        <w:t>Weekly rack inspection form; damage tags; annual inspection report; repair records.</w:t>
      </w:r>
    </w:p>
    <w:p>
      <w:pPr>
        <w:pStyle w:val="Heading2"/>
      </w:pPr>
      <w:r>
        <w:rPr>
          <w:color w:val="14532D"/>
        </w:rPr>
        <w:t>6. References</w:t>
      </w:r>
    </w:p>
    <w:p>
      <w:r>
        <w:t>SEMA: Guide to the Conduct of Pallet Racking and Shelving Surveys; RMI ANSI MH16.1 and RMI's Guideline for the Assessment and Repair of Damaged Racking; OSHA 1910.176.</w:t>
      </w:r>
    </w:p>
    <w:p>
      <w:pPr>
        <w:pStyle w:val="Heading2"/>
      </w:pPr>
      <w:r>
        <w:rPr>
          <w:color w:val="14532D"/>
        </w:rPr>
        <w:t>7. Training sign-off</w:t>
      </w:r>
    </w:p>
    <w:tbl>
      <w:tblPr>
        <w:tblStyle w:val="TableGrid"/>
        <w:tblW w:type="auto" w:w="0"/>
        <w:tblLook w:firstColumn="1" w:firstRow="1" w:lastColumn="0" w:lastRow="0" w:noHBand="0" w:noVBand="1" w:val="04A0"/>
      </w:tblPr>
      <w:tblGrid>
        <w:gridCol w:w="2493"/>
        <w:gridCol w:w="2493"/>
        <w:gridCol w:w="2493"/>
        <w:gridCol w:w="2493"/>
      </w:tblGrid>
      <w:tr>
        <w:tc>
          <w:tcPr>
            <w:tcW w:type="dxa" w:w="2493"/>
            <w:shd w:val="clear" w:color="auto" w:fill="E9F7D8"/>
          </w:tcPr>
          <w:p>
            <w:r/>
            <w:r>
              <w:rPr>
                <w:b/>
                <w:color w:val="14532D"/>
              </w:rPr>
              <w:t>Name</w:t>
            </w:r>
          </w:p>
        </w:tc>
        <w:tc>
          <w:tcPr>
            <w:tcW w:type="dxa" w:w="2493"/>
            <w:shd w:val="clear" w:color="auto" w:fill="E9F7D8"/>
          </w:tcPr>
          <w:p>
            <w:r/>
            <w:r>
              <w:rPr>
                <w:b/>
                <w:color w:val="14532D"/>
              </w:rPr>
              <w:t>Date</w:t>
            </w:r>
          </w:p>
        </w:tc>
        <w:tc>
          <w:tcPr>
            <w:tcW w:type="dxa" w:w="2493"/>
            <w:shd w:val="clear" w:color="auto" w:fill="E9F7D8"/>
          </w:tcPr>
          <w:p>
            <w:r/>
            <w:r>
              <w:rPr>
                <w:b/>
                <w:color w:val="14532D"/>
              </w:rPr>
              <w:t>Signature</w:t>
            </w:r>
          </w:p>
        </w:tc>
        <w:tc>
          <w:tcPr>
            <w:tcW w:type="dxa" w:w="2493"/>
            <w:shd w:val="clear" w:color="auto" w:fill="E9F7D8"/>
          </w:tcPr>
          <w:p>
            <w:r/>
            <w:r>
              <w:rPr>
                <w:b/>
                <w:color w:val="14532D"/>
              </w:rPr>
              <w:t>Trainer</w:t>
            </w:r>
          </w:p>
        </w:tc>
      </w:tr>
      <w:tr>
        <w:trPr>
          <w:trHeight w:val="482"/>
        </w:trPr>
        <w:tc>
          <w:tcPr>
            <w:tcW w:type="dxa" w:w="2493"/>
          </w:tcPr>
          <w:p/>
        </w:tc>
        <w:tc>
          <w:tcPr>
            <w:tcW w:type="dxa" w:w="2493"/>
          </w:tcPr>
          <w:p/>
        </w:tc>
        <w:tc>
          <w:tcPr>
            <w:tcW w:type="dxa" w:w="2493"/>
          </w:tcPr>
          <w:p/>
        </w:tc>
        <w:tc>
          <w:tcPr>
            <w:tcW w:type="dxa" w:w="2493"/>
          </w:tcPr>
          <w:p/>
        </w:tc>
      </w:tr>
      <w:tr>
        <w:trPr>
          <w:trHeight w:val="482"/>
        </w:trPr>
        <w:tc>
          <w:tcPr>
            <w:tcW w:type="dxa" w:w="2493"/>
          </w:tcPr>
          <w:p/>
        </w:tc>
        <w:tc>
          <w:tcPr>
            <w:tcW w:type="dxa" w:w="2493"/>
          </w:tcPr>
          <w:p/>
        </w:tc>
        <w:tc>
          <w:tcPr>
            <w:tcW w:type="dxa" w:w="2493"/>
          </w:tcPr>
          <w:p/>
        </w:tc>
        <w:tc>
          <w:tcPr>
            <w:tcW w:type="dxa" w:w="2493"/>
          </w:tcPr>
          <w:p/>
        </w:tc>
      </w:tr>
      <w:tr>
        <w:trPr>
          <w:trHeight w:val="482"/>
        </w:trPr>
        <w:tc>
          <w:tcPr>
            <w:tcW w:type="dxa" w:w="2493"/>
          </w:tcPr>
          <w:p/>
        </w:tc>
        <w:tc>
          <w:tcPr>
            <w:tcW w:type="dxa" w:w="2493"/>
          </w:tcPr>
          <w:p/>
        </w:tc>
        <w:tc>
          <w:tcPr>
            <w:tcW w:type="dxa" w:w="2493"/>
          </w:tcPr>
          <w:p/>
        </w:tc>
        <w:tc>
          <w:tcPr>
            <w:tcW w:type="dxa" w:w="2493"/>
          </w:tcPr>
          <w:p/>
        </w:tc>
      </w:tr>
      <w:tr>
        <w:trPr>
          <w:trHeight w:val="482"/>
        </w:trPr>
        <w:tc>
          <w:tcPr>
            <w:tcW w:type="dxa" w:w="2493"/>
          </w:tcPr>
          <w:p/>
        </w:tc>
        <w:tc>
          <w:tcPr>
            <w:tcW w:type="dxa" w:w="2493"/>
          </w:tcPr>
          <w:p/>
        </w:tc>
        <w:tc>
          <w:tcPr>
            <w:tcW w:type="dxa" w:w="2493"/>
          </w:tcPr>
          <w:p/>
        </w:tc>
        <w:tc>
          <w:tcPr>
            <w:tcW w:type="dxa" w:w="2493"/>
          </w:tcPr>
          <w:p/>
        </w:tc>
      </w:tr>
      <w:tr>
        <w:trPr>
          <w:trHeight w:val="482"/>
        </w:trPr>
        <w:tc>
          <w:tcPr>
            <w:tcW w:type="dxa" w:w="2493"/>
          </w:tcPr>
          <w:p/>
        </w:tc>
        <w:tc>
          <w:tcPr>
            <w:tcW w:type="dxa" w:w="2493"/>
          </w:tcPr>
          <w:p/>
        </w:tc>
        <w:tc>
          <w:tcPr>
            <w:tcW w:type="dxa" w:w="2493"/>
          </w:tcPr>
          <w:p/>
        </w:tc>
        <w:tc>
          <w:tcPr>
            <w:tcW w:type="dxa" w:w="2493"/>
          </w:tcPr>
          <w:p/>
        </w:tc>
      </w:tr>
      <w:tr>
        <w:trPr>
          <w:trHeight w:val="482"/>
        </w:trPr>
        <w:tc>
          <w:tcPr>
            <w:tcW w:type="dxa" w:w="2493"/>
          </w:tcPr>
          <w:p/>
        </w:tc>
        <w:tc>
          <w:tcPr>
            <w:tcW w:type="dxa" w:w="2493"/>
          </w:tcPr>
          <w:p/>
        </w:tc>
        <w:tc>
          <w:tcPr>
            <w:tcW w:type="dxa" w:w="2493"/>
          </w:tcPr>
          <w:p/>
        </w:tc>
        <w:tc>
          <w:tcPr>
            <w:tcW w:type="dxa" w:w="2493"/>
          </w:tcPr>
          <w:p/>
        </w:tc>
      </w:tr>
    </w:tbl>
    <w:p>
      <w:pPr>
        <w:pStyle w:val="Heading2"/>
      </w:pPr>
      <w:r>
        <w:rPr>
          <w:color w:val="14532D"/>
        </w:rPr>
        <w:t>Revision history</w:t>
      </w:r>
    </w:p>
    <w:tbl>
      <w:tblPr>
        <w:tblStyle w:val="TableGrid"/>
        <w:tblW w:type="auto" w:w="0"/>
        <w:tblLook w:firstColumn="1" w:firstRow="1" w:lastColumn="0" w:lastRow="0" w:noHBand="0" w:noVBand="1" w:val="04A0"/>
      </w:tblPr>
      <w:tblGrid>
        <w:gridCol w:w="2493"/>
        <w:gridCol w:w="2493"/>
        <w:gridCol w:w="2493"/>
        <w:gridCol w:w="2493"/>
      </w:tblGrid>
      <w:tr>
        <w:tc>
          <w:tcPr>
            <w:tcW w:type="dxa" w:w="2493"/>
            <w:shd w:val="clear" w:color="auto" w:fill="E9F7D8"/>
          </w:tcPr>
          <w:p>
            <w:r/>
            <w:r>
              <w:rPr>
                <w:b/>
                <w:color w:val="14532D"/>
              </w:rPr>
              <w:t>Version</w:t>
            </w:r>
          </w:p>
        </w:tc>
        <w:tc>
          <w:tcPr>
            <w:tcW w:type="dxa" w:w="2493"/>
            <w:shd w:val="clear" w:color="auto" w:fill="E9F7D8"/>
          </w:tcPr>
          <w:p>
            <w:r/>
            <w:r>
              <w:rPr>
                <w:b/>
                <w:color w:val="14532D"/>
              </w:rPr>
              <w:t>Date</w:t>
            </w:r>
          </w:p>
        </w:tc>
        <w:tc>
          <w:tcPr>
            <w:tcW w:type="dxa" w:w="2493"/>
            <w:shd w:val="clear" w:color="auto" w:fill="E9F7D8"/>
          </w:tcPr>
          <w:p>
            <w:r/>
            <w:r>
              <w:rPr>
                <w:b/>
                <w:color w:val="14532D"/>
              </w:rPr>
              <w:t>What changed</w:t>
            </w:r>
          </w:p>
        </w:tc>
        <w:tc>
          <w:tcPr>
            <w:tcW w:type="dxa" w:w="2493"/>
            <w:shd w:val="clear" w:color="auto" w:fill="E9F7D8"/>
          </w:tcPr>
          <w:p>
            <w:r/>
            <w:r>
              <w:rPr>
                <w:b/>
                <w:color w:val="14532D"/>
              </w:rPr>
              <w:t>Approved by</w:t>
            </w:r>
          </w:p>
        </w:tc>
      </w:tr>
      <w:tr>
        <w:tc>
          <w:tcPr>
            <w:tcW w:type="dxa" w:w="2493"/>
          </w:tcPr>
          <w:p>
            <w:r>
              <w:t>1.0</w:t>
            </w:r>
          </w:p>
        </w:tc>
        <w:tc>
          <w:tcPr>
            <w:tcW w:type="dxa" w:w="2493"/>
          </w:tcPr>
          <w:p/>
        </w:tc>
        <w:tc>
          <w:tcPr>
            <w:tcW w:type="dxa" w:w="2493"/>
          </w:tcPr>
          <w:p>
            <w:r>
              <w:t>First issue</w:t>
            </w:r>
          </w:p>
        </w:tc>
        <w:tc>
          <w:tcPr>
            <w:tcW w:type="dxa" w:w="2493"/>
          </w:tcPr>
          <w:p/>
        </w:tc>
      </w:tr>
      <w:tr>
        <w:tc>
          <w:tcPr>
            <w:tcW w:type="dxa" w:w="2493"/>
          </w:tcPr>
          <w:p/>
        </w:tc>
        <w:tc>
          <w:tcPr>
            <w:tcW w:type="dxa" w:w="2493"/>
          </w:tcPr>
          <w:p/>
        </w:tc>
        <w:tc>
          <w:tcPr>
            <w:tcW w:type="dxa" w:w="2493"/>
          </w:tcPr>
          <w:p/>
        </w:tc>
        <w:tc>
          <w:tcPr>
            <w:tcW w:type="dxa" w:w="2493"/>
          </w:tcPr>
          <w:p/>
        </w:tc>
      </w:tr>
    </w:tbl>
    <w:p>
      <w:r>
        <w:br w:type="page"/>
      </w:r>
    </w:p>
    <w:p>
      <w:pPr>
        <w:pStyle w:val="Heading1"/>
      </w:pPr>
      <w:r>
        <w:rPr>
          <w:color w:val="14532D"/>
        </w:rPr>
        <w:t>Packing and dispatch</w:t>
      </w:r>
    </w:p>
    <w:tbl>
      <w:tblPr>
        <w:tblStyle w:val="TableGrid"/>
        <w:tblW w:type="auto" w:w="0"/>
        <w:jc w:val="center"/>
        <w:tblLook w:firstColumn="1" w:firstRow="1" w:lastColumn="0" w:lastRow="0" w:noHBand="0" w:noVBand="1" w:val="04A0"/>
      </w:tblPr>
      <w:tblGrid>
        <w:gridCol w:w="2493"/>
        <w:gridCol w:w="2493"/>
        <w:gridCol w:w="2493"/>
        <w:gridCol w:w="2493"/>
      </w:tblGrid>
      <w:tr>
        <w:tc>
          <w:tcPr>
            <w:tcW w:type="dxa" w:w="2041"/>
            <w:shd w:val="clear" w:color="auto" w:fill="E9F7D8"/>
          </w:tcPr>
          <w:p>
            <w:r/>
            <w:r>
              <w:rPr>
                <w:b/>
              </w:rPr>
              <w:t>SOP number</w:t>
            </w:r>
          </w:p>
        </w:tc>
        <w:tc>
          <w:tcPr>
            <w:tcW w:type="dxa" w:w="2778"/>
          </w:tcPr>
          <w:p/>
        </w:tc>
        <w:tc>
          <w:tcPr>
            <w:tcW w:type="dxa" w:w="2041"/>
            <w:shd w:val="clear" w:color="auto" w:fill="E9F7D8"/>
          </w:tcPr>
          <w:p>
            <w:r/>
            <w:r>
              <w:rPr>
                <w:b/>
              </w:rPr>
              <w:t>Version</w:t>
            </w:r>
          </w:p>
        </w:tc>
        <w:tc>
          <w:tcPr>
            <w:tcW w:type="dxa" w:w="2778"/>
          </w:tcPr>
          <w:p/>
        </w:tc>
      </w:tr>
      <w:tr>
        <w:tc>
          <w:tcPr>
            <w:tcW w:type="dxa" w:w="2041"/>
            <w:shd w:val="clear" w:color="auto" w:fill="E9F7D8"/>
          </w:tcPr>
          <w:p>
            <w:r/>
            <w:r>
              <w:rPr>
                <w:b/>
              </w:rPr>
              <w:t>Effective date</w:t>
            </w:r>
          </w:p>
        </w:tc>
        <w:tc>
          <w:tcPr>
            <w:tcW w:type="dxa" w:w="2778"/>
          </w:tcPr>
          <w:p/>
        </w:tc>
        <w:tc>
          <w:tcPr>
            <w:tcW w:type="dxa" w:w="2041"/>
            <w:shd w:val="clear" w:color="auto" w:fill="E9F7D8"/>
          </w:tcPr>
          <w:p>
            <w:r/>
            <w:r>
              <w:rPr>
                <w:b/>
              </w:rPr>
              <w:t>Owner</w:t>
            </w:r>
          </w:p>
        </w:tc>
        <w:tc>
          <w:tcPr>
            <w:tcW w:type="dxa" w:w="2778"/>
          </w:tcPr>
          <w:p/>
        </w:tc>
      </w:tr>
      <w:tr>
        <w:tc>
          <w:tcPr>
            <w:tcW w:type="dxa" w:w="2041"/>
            <w:shd w:val="clear" w:color="auto" w:fill="E9F7D8"/>
          </w:tcPr>
          <w:p>
            <w:r/>
            <w:r>
              <w:rPr>
                <w:b/>
              </w:rPr>
              <w:t>Approved by</w:t>
            </w:r>
          </w:p>
        </w:tc>
        <w:tc>
          <w:tcPr>
            <w:tcW w:type="dxa" w:w="2778"/>
          </w:tcPr>
          <w:p/>
        </w:tc>
        <w:tc>
          <w:tcPr>
            <w:tcW w:type="dxa" w:w="2041"/>
            <w:shd w:val="clear" w:color="auto" w:fill="E9F7D8"/>
          </w:tcPr>
          <w:p>
            <w:r/>
            <w:r>
              <w:rPr>
                <w:b/>
              </w:rPr>
              <w:t>Next review date</w:t>
            </w:r>
          </w:p>
        </w:tc>
        <w:tc>
          <w:tcPr>
            <w:tcW w:type="dxa" w:w="2778"/>
          </w:tcPr>
          <w:p/>
        </w:tc>
      </w:tr>
    </w:tbl>
    <w:p/>
    <w:tbl>
      <w:tblPr>
        <w:tblStyle w:val="TableGrid"/>
        <w:tblW w:type="auto" w:w="0"/>
        <w:tblLook w:firstColumn="1" w:firstRow="1" w:lastColumn="0" w:lastRow="0" w:noHBand="0" w:noVBand="1" w:val="04A0"/>
      </w:tblPr>
      <w:tblGrid>
        <w:gridCol w:w="2493"/>
        <w:gridCol w:w="2493"/>
        <w:gridCol w:w="2493"/>
        <w:gridCol w:w="2493"/>
      </w:tblGrid>
      <w:tr>
        <w:tc>
          <w:tcPr>
            <w:tcW w:type="dxa" w:w="1474"/>
            <w:shd w:val="clear" w:color="auto" w:fill="E9F7D8"/>
          </w:tcPr>
          <w:p>
            <w:r/>
            <w:r>
              <w:rPr>
                <w:b/>
              </w:rPr>
              <w:t>Area</w:t>
            </w:r>
          </w:p>
        </w:tc>
        <w:tc>
          <w:tcPr>
            <w:tcW w:type="dxa" w:w="3345"/>
          </w:tcPr>
          <w:p>
            <w:r>
              <w:t>Packing lanes and outbound dock</w:t>
            </w:r>
          </w:p>
        </w:tc>
        <w:tc>
          <w:tcPr>
            <w:tcW w:type="dxa" w:w="1474"/>
            <w:shd w:val="clear" w:color="auto" w:fill="E9F7D8"/>
          </w:tcPr>
          <w:p>
            <w:r/>
            <w:r>
              <w:rPr>
                <w:b/>
              </w:rPr>
              <w:t>Done by</w:t>
            </w:r>
          </w:p>
        </w:tc>
        <w:tc>
          <w:tcPr>
            <w:tcW w:type="dxa" w:w="3345"/>
          </w:tcPr>
          <w:p>
            <w:r>
              <w:t>Packer; dispatch clerk</w:t>
            </w:r>
          </w:p>
        </w:tc>
      </w:tr>
    </w:tbl>
    <w:p>
      <w:pPr>
        <w:pStyle w:val="Heading2"/>
      </w:pPr>
      <w:r>
        <w:rPr>
          <w:color w:val="14532D"/>
        </w:rPr>
        <w:t>1. Purpose</w:t>
      </w:r>
    </w:p>
    <w:p>
      <w:r>
        <w:t>Send the complete order, packed so it arrives undamaged, with paperwork that matches what is in the box.</w:t>
      </w:r>
    </w:p>
    <w:p>
      <w:pPr>
        <w:pStyle w:val="Heading2"/>
      </w:pPr>
      <w:r>
        <w:rPr>
          <w:color w:val="14532D"/>
        </w:rPr>
        <w:t>2. Scope</w:t>
      </w:r>
    </w:p>
    <w:p>
      <w:r>
        <w:t>Every outbound parcel and pallet order. Dangerous goods, temperature-controlled and export orders have additional steps in their own SOPs.</w:t>
      </w:r>
    </w:p>
    <w:p>
      <w:pPr>
        <w:pStyle w:val="Heading2"/>
      </w:pPr>
      <w:r>
        <w:rPr>
          <w:color w:val="14532D"/>
        </w:rPr>
        <w:t>3. Safety and PPE</w:t>
      </w:r>
    </w:p>
    <w:p>
      <w:pPr>
        <w:pStyle w:val="ListBullet"/>
      </w:pPr>
      <w:r>
        <w:t>Box cutters: retractable blade, cut away from your body and the person beside you. Tape guns: watch the blade edge.</w:t>
      </w:r>
    </w:p>
    <w:p>
      <w:pPr>
        <w:pStyle w:val="ListBullet"/>
      </w:pPr>
      <w:r>
        <w:t>Stretch-wrapping a pallet by hand: walk forwards, not backwards; keep the aisle clear.</w:t>
      </w:r>
    </w:p>
    <w:p>
      <w:pPr>
        <w:pStyle w:val="Heading2"/>
      </w:pPr>
      <w:r>
        <w:rPr>
          <w:color w:val="14532D"/>
        </w:rPr>
        <w:t>4. Procedure</w:t>
      </w:r>
    </w:p>
    <w:tbl>
      <w:tblPr>
        <w:tblStyle w:val="TableGrid"/>
        <w:tblW w:type="auto" w:w="0"/>
        <w:tblLook w:firstColumn="1" w:firstRow="1" w:lastColumn="0" w:lastRow="0" w:noHBand="0" w:noVBand="1" w:val="04A0"/>
      </w:tblPr>
      <w:tblGrid>
        <w:gridCol w:w="3324"/>
        <w:gridCol w:w="3324"/>
        <w:gridCol w:w="3324"/>
      </w:tblGrid>
      <w:tr>
        <w:tc>
          <w:tcPr>
            <w:tcW w:type="dxa" w:w="737"/>
            <w:shd w:val="clear" w:color="auto" w:fill="E9F7D8"/>
          </w:tcPr>
          <w:p>
            <w:r/>
            <w:r>
              <w:rPr>
                <w:b/>
                <w:color w:val="14532D"/>
              </w:rPr>
              <w:t>Step</w:t>
            </w:r>
          </w:p>
        </w:tc>
        <w:tc>
          <w:tcPr>
            <w:tcW w:type="dxa" w:w="4876"/>
            <w:shd w:val="clear" w:color="auto" w:fill="E9F7D8"/>
          </w:tcPr>
          <w:p>
            <w:r/>
            <w:r>
              <w:rPr>
                <w:b/>
                <w:color w:val="14532D"/>
              </w:rPr>
              <w:t>Action</w:t>
            </w:r>
          </w:p>
        </w:tc>
        <w:tc>
          <w:tcPr>
            <w:tcW w:type="dxa" w:w="4025"/>
            <w:shd w:val="clear" w:color="auto" w:fill="E9F7D8"/>
          </w:tcPr>
          <w:p>
            <w:r/>
            <w:r>
              <w:rPr>
                <w:b/>
                <w:color w:val="14532D"/>
              </w:rPr>
              <w:t>Key point / warning</w:t>
            </w:r>
          </w:p>
        </w:tc>
      </w:tr>
      <w:tr>
        <w:tc>
          <w:tcPr>
            <w:tcW w:type="dxa" w:w="737"/>
          </w:tcPr>
          <w:p>
            <w:r>
              <w:t>1</w:t>
            </w:r>
          </w:p>
        </w:tc>
        <w:tc>
          <w:tcPr>
            <w:tcW w:type="dxa" w:w="4876"/>
          </w:tcPr>
          <w:p>
            <w:r>
              <w:t>Scan the tote or pallet label. The screen shows the order lines. Check each item and quantity against the screen as you pack — every item scanned, not counted.</w:t>
            </w:r>
          </w:p>
        </w:tc>
        <w:tc>
          <w:tcPr>
            <w:tcW w:type="dxa" w:w="4025"/>
          </w:tcPr>
          <w:p>
            <w:r>
              <w:t>The scan is the check. Packing by eye is how the wrong colour ships.</w:t>
            </w:r>
          </w:p>
        </w:tc>
      </w:tr>
      <w:tr>
        <w:tc>
          <w:tcPr>
            <w:tcW w:type="dxa" w:w="737"/>
          </w:tcPr>
          <w:p>
            <w:r>
              <w:t>2</w:t>
            </w:r>
          </w:p>
        </w:tc>
        <w:tc>
          <w:tcPr>
            <w:tcW w:type="dxa" w:w="4876"/>
          </w:tcPr>
          <w:p>
            <w:r>
              <w:t>Choose the box or pallet pattern from the packing guide. Heaviest items at the bottom, fragile items wrapped and in the centre, no voids: fill them.</w:t>
            </w:r>
          </w:p>
        </w:tc>
        <w:tc>
          <w:tcPr>
            <w:tcW w:type="dxa" w:w="4025"/>
          </w:tcPr>
          <w:p>
            <w:r>
              <w:t>A box that rattles will arrive damaged.</w:t>
            </w:r>
          </w:p>
        </w:tc>
      </w:tr>
      <w:tr>
        <w:tc>
          <w:tcPr>
            <w:tcW w:type="dxa" w:w="737"/>
          </w:tcPr>
          <w:p>
            <w:r>
              <w:t>3</w:t>
            </w:r>
          </w:p>
        </w:tc>
        <w:tc>
          <w:tcPr>
            <w:tcW w:type="dxa" w:w="4876"/>
          </w:tcPr>
          <w:p>
            <w:r>
              <w:t>Seal with the H-tape pattern. Pallets: stretch-wrap from the base up with at least three turns at the bottom and the top, and the wrap tied to the pallet, not to the load.</w:t>
            </w:r>
          </w:p>
        </w:tc>
        <w:tc>
          <w:tcPr>
            <w:tcW w:type="dxa" w:w="4025"/>
          </w:tcPr>
          <w:p>
            <w:r/>
          </w:p>
        </w:tc>
      </w:tr>
      <w:tr>
        <w:tc>
          <w:tcPr>
            <w:tcW w:type="dxa" w:w="737"/>
          </w:tcPr>
          <w:p>
            <w:r>
              <w:t>4</w:t>
            </w:r>
          </w:p>
        </w:tc>
        <w:tc>
          <w:tcPr>
            <w:tcW w:type="dxa" w:w="4876"/>
          </w:tcPr>
          <w:p>
            <w:r>
              <w:t>Print and apply the shipping label on the top face, flat, with no tape over the barcode. Put the packing slip inside the first box or in a pouch on the pallet.</w:t>
            </w:r>
          </w:p>
        </w:tc>
        <w:tc>
          <w:tcPr>
            <w:tcW w:type="dxa" w:w="4025"/>
          </w:tcPr>
          <w:p>
            <w:r/>
          </w:p>
        </w:tc>
      </w:tr>
      <w:tr>
        <w:tc>
          <w:tcPr>
            <w:tcW w:type="dxa" w:w="737"/>
          </w:tcPr>
          <w:p>
            <w:r>
              <w:t>5</w:t>
            </w:r>
          </w:p>
        </w:tc>
        <w:tc>
          <w:tcPr>
            <w:tcW w:type="dxa" w:w="4876"/>
          </w:tcPr>
          <w:p>
            <w:r>
              <w:t>Scan the label to close the order. Weigh the parcel or pallet; the system compares the weight to the expected weight.</w:t>
            </w:r>
          </w:p>
        </w:tc>
        <w:tc>
          <w:tcPr>
            <w:tcW w:type="dxa" w:w="4025"/>
          </w:tcPr>
          <w:p>
            <w:r>
              <w:t>A weight mismatch means an item is missing or extra. Open it. Do not ship it.</w:t>
            </w:r>
          </w:p>
        </w:tc>
      </w:tr>
      <w:tr>
        <w:tc>
          <w:tcPr>
            <w:tcW w:type="dxa" w:w="737"/>
          </w:tcPr>
          <w:p>
            <w:r>
              <w:t>6</w:t>
            </w:r>
          </w:p>
        </w:tc>
        <w:tc>
          <w:tcPr>
            <w:tcW w:type="dxa" w:w="4876"/>
          </w:tcPr>
          <w:p>
            <w:r>
              <w:t>Stage in the lane for the carrier. The dispatch clerk checks the manifest against the staged units before the trailer is loaded.</w:t>
            </w:r>
          </w:p>
        </w:tc>
        <w:tc>
          <w:tcPr>
            <w:tcW w:type="dxa" w:w="4025"/>
          </w:tcPr>
          <w:p>
            <w:r/>
          </w:p>
        </w:tc>
      </w:tr>
      <w:tr>
        <w:tc>
          <w:tcPr>
            <w:tcW w:type="dxa" w:w="737"/>
          </w:tcPr>
          <w:p>
            <w:r>
              <w:t>7</w:t>
            </w:r>
          </w:p>
        </w:tc>
        <w:tc>
          <w:tcPr>
            <w:tcW w:type="dxa" w:w="4876"/>
          </w:tcPr>
          <w:p>
            <w:r>
              <w:t>Load (see the dock SOP). Driver signs the manifest for the number of units, not the contents. Keep the signed copy.</w:t>
            </w:r>
          </w:p>
        </w:tc>
        <w:tc>
          <w:tcPr>
            <w:tcW w:type="dxa" w:w="4025"/>
          </w:tcPr>
          <w:p>
            <w:r/>
          </w:p>
        </w:tc>
      </w:tr>
    </w:tbl>
    <w:p>
      <w:pPr>
        <w:pStyle w:val="Heading2"/>
      </w:pPr>
      <w:r>
        <w:rPr>
          <w:color w:val="14532D"/>
        </w:rPr>
        <w:t>5. Checks and records</w:t>
      </w:r>
    </w:p>
    <w:p>
      <w:r>
        <w:t>Packing confirmation per order; weight check result; signed manifest; photo of a loaded pallet for high-value orders.</w:t>
      </w:r>
    </w:p>
    <w:p>
      <w:pPr>
        <w:pStyle w:val="Heading2"/>
      </w:pPr>
      <w:r>
        <w:rPr>
          <w:color w:val="14532D"/>
        </w:rPr>
        <w:t>6. References</w:t>
      </w:r>
    </w:p>
    <w:p>
      <w:r>
        <w:t>Carrier packaging rules; IATA/ADR/49 CFR where dangerous goods apply.</w:t>
      </w:r>
    </w:p>
    <w:p>
      <w:pPr>
        <w:pStyle w:val="Heading2"/>
      </w:pPr>
      <w:r>
        <w:rPr>
          <w:color w:val="14532D"/>
        </w:rPr>
        <w:t>7. Training sign-off</w:t>
      </w:r>
    </w:p>
    <w:tbl>
      <w:tblPr>
        <w:tblStyle w:val="TableGrid"/>
        <w:tblW w:type="auto" w:w="0"/>
        <w:tblLook w:firstColumn="1" w:firstRow="1" w:lastColumn="0" w:lastRow="0" w:noHBand="0" w:noVBand="1" w:val="04A0"/>
      </w:tblPr>
      <w:tblGrid>
        <w:gridCol w:w="2493"/>
        <w:gridCol w:w="2493"/>
        <w:gridCol w:w="2493"/>
        <w:gridCol w:w="2493"/>
      </w:tblGrid>
      <w:tr>
        <w:tc>
          <w:tcPr>
            <w:tcW w:type="dxa" w:w="2493"/>
            <w:shd w:val="clear" w:color="auto" w:fill="E9F7D8"/>
          </w:tcPr>
          <w:p>
            <w:r/>
            <w:r>
              <w:rPr>
                <w:b/>
                <w:color w:val="14532D"/>
              </w:rPr>
              <w:t>Name</w:t>
            </w:r>
          </w:p>
        </w:tc>
        <w:tc>
          <w:tcPr>
            <w:tcW w:type="dxa" w:w="2493"/>
            <w:shd w:val="clear" w:color="auto" w:fill="E9F7D8"/>
          </w:tcPr>
          <w:p>
            <w:r/>
            <w:r>
              <w:rPr>
                <w:b/>
                <w:color w:val="14532D"/>
              </w:rPr>
              <w:t>Date</w:t>
            </w:r>
          </w:p>
        </w:tc>
        <w:tc>
          <w:tcPr>
            <w:tcW w:type="dxa" w:w="2493"/>
            <w:shd w:val="clear" w:color="auto" w:fill="E9F7D8"/>
          </w:tcPr>
          <w:p>
            <w:r/>
            <w:r>
              <w:rPr>
                <w:b/>
                <w:color w:val="14532D"/>
              </w:rPr>
              <w:t>Signature</w:t>
            </w:r>
          </w:p>
        </w:tc>
        <w:tc>
          <w:tcPr>
            <w:tcW w:type="dxa" w:w="2493"/>
            <w:shd w:val="clear" w:color="auto" w:fill="E9F7D8"/>
          </w:tcPr>
          <w:p>
            <w:r/>
            <w:r>
              <w:rPr>
                <w:b/>
                <w:color w:val="14532D"/>
              </w:rPr>
              <w:t>Trainer</w:t>
            </w:r>
          </w:p>
        </w:tc>
      </w:tr>
      <w:tr>
        <w:trPr>
          <w:trHeight w:val="482"/>
        </w:trPr>
        <w:tc>
          <w:tcPr>
            <w:tcW w:type="dxa" w:w="2493"/>
          </w:tcPr>
          <w:p/>
        </w:tc>
        <w:tc>
          <w:tcPr>
            <w:tcW w:type="dxa" w:w="2493"/>
          </w:tcPr>
          <w:p/>
        </w:tc>
        <w:tc>
          <w:tcPr>
            <w:tcW w:type="dxa" w:w="2493"/>
          </w:tcPr>
          <w:p/>
        </w:tc>
        <w:tc>
          <w:tcPr>
            <w:tcW w:type="dxa" w:w="2493"/>
          </w:tcPr>
          <w:p/>
        </w:tc>
      </w:tr>
      <w:tr>
        <w:trPr>
          <w:trHeight w:val="482"/>
        </w:trPr>
        <w:tc>
          <w:tcPr>
            <w:tcW w:type="dxa" w:w="2493"/>
          </w:tcPr>
          <w:p/>
        </w:tc>
        <w:tc>
          <w:tcPr>
            <w:tcW w:type="dxa" w:w="2493"/>
          </w:tcPr>
          <w:p/>
        </w:tc>
        <w:tc>
          <w:tcPr>
            <w:tcW w:type="dxa" w:w="2493"/>
          </w:tcPr>
          <w:p/>
        </w:tc>
        <w:tc>
          <w:tcPr>
            <w:tcW w:type="dxa" w:w="2493"/>
          </w:tcPr>
          <w:p/>
        </w:tc>
      </w:tr>
      <w:tr>
        <w:trPr>
          <w:trHeight w:val="482"/>
        </w:trPr>
        <w:tc>
          <w:tcPr>
            <w:tcW w:type="dxa" w:w="2493"/>
          </w:tcPr>
          <w:p/>
        </w:tc>
        <w:tc>
          <w:tcPr>
            <w:tcW w:type="dxa" w:w="2493"/>
          </w:tcPr>
          <w:p/>
        </w:tc>
        <w:tc>
          <w:tcPr>
            <w:tcW w:type="dxa" w:w="2493"/>
          </w:tcPr>
          <w:p/>
        </w:tc>
        <w:tc>
          <w:tcPr>
            <w:tcW w:type="dxa" w:w="2493"/>
          </w:tcPr>
          <w:p/>
        </w:tc>
      </w:tr>
      <w:tr>
        <w:trPr>
          <w:trHeight w:val="482"/>
        </w:trPr>
        <w:tc>
          <w:tcPr>
            <w:tcW w:type="dxa" w:w="2493"/>
          </w:tcPr>
          <w:p/>
        </w:tc>
        <w:tc>
          <w:tcPr>
            <w:tcW w:type="dxa" w:w="2493"/>
          </w:tcPr>
          <w:p/>
        </w:tc>
        <w:tc>
          <w:tcPr>
            <w:tcW w:type="dxa" w:w="2493"/>
          </w:tcPr>
          <w:p/>
        </w:tc>
        <w:tc>
          <w:tcPr>
            <w:tcW w:type="dxa" w:w="2493"/>
          </w:tcPr>
          <w:p/>
        </w:tc>
      </w:tr>
      <w:tr>
        <w:trPr>
          <w:trHeight w:val="482"/>
        </w:trPr>
        <w:tc>
          <w:tcPr>
            <w:tcW w:type="dxa" w:w="2493"/>
          </w:tcPr>
          <w:p/>
        </w:tc>
        <w:tc>
          <w:tcPr>
            <w:tcW w:type="dxa" w:w="2493"/>
          </w:tcPr>
          <w:p/>
        </w:tc>
        <w:tc>
          <w:tcPr>
            <w:tcW w:type="dxa" w:w="2493"/>
          </w:tcPr>
          <w:p/>
        </w:tc>
        <w:tc>
          <w:tcPr>
            <w:tcW w:type="dxa" w:w="2493"/>
          </w:tcPr>
          <w:p/>
        </w:tc>
      </w:tr>
      <w:tr>
        <w:trPr>
          <w:trHeight w:val="482"/>
        </w:trPr>
        <w:tc>
          <w:tcPr>
            <w:tcW w:type="dxa" w:w="2493"/>
          </w:tcPr>
          <w:p/>
        </w:tc>
        <w:tc>
          <w:tcPr>
            <w:tcW w:type="dxa" w:w="2493"/>
          </w:tcPr>
          <w:p/>
        </w:tc>
        <w:tc>
          <w:tcPr>
            <w:tcW w:type="dxa" w:w="2493"/>
          </w:tcPr>
          <w:p/>
        </w:tc>
        <w:tc>
          <w:tcPr>
            <w:tcW w:type="dxa" w:w="2493"/>
          </w:tcPr>
          <w:p/>
        </w:tc>
      </w:tr>
    </w:tbl>
    <w:p>
      <w:pPr>
        <w:pStyle w:val="Heading2"/>
      </w:pPr>
      <w:r>
        <w:rPr>
          <w:color w:val="14532D"/>
        </w:rPr>
        <w:t>Revision history</w:t>
      </w:r>
    </w:p>
    <w:tbl>
      <w:tblPr>
        <w:tblStyle w:val="TableGrid"/>
        <w:tblW w:type="auto" w:w="0"/>
        <w:tblLook w:firstColumn="1" w:firstRow="1" w:lastColumn="0" w:lastRow="0" w:noHBand="0" w:noVBand="1" w:val="04A0"/>
      </w:tblPr>
      <w:tblGrid>
        <w:gridCol w:w="2493"/>
        <w:gridCol w:w="2493"/>
        <w:gridCol w:w="2493"/>
        <w:gridCol w:w="2493"/>
      </w:tblGrid>
      <w:tr>
        <w:tc>
          <w:tcPr>
            <w:tcW w:type="dxa" w:w="2493"/>
            <w:shd w:val="clear" w:color="auto" w:fill="E9F7D8"/>
          </w:tcPr>
          <w:p>
            <w:r/>
            <w:r>
              <w:rPr>
                <w:b/>
                <w:color w:val="14532D"/>
              </w:rPr>
              <w:t>Version</w:t>
            </w:r>
          </w:p>
        </w:tc>
        <w:tc>
          <w:tcPr>
            <w:tcW w:type="dxa" w:w="2493"/>
            <w:shd w:val="clear" w:color="auto" w:fill="E9F7D8"/>
          </w:tcPr>
          <w:p>
            <w:r/>
            <w:r>
              <w:rPr>
                <w:b/>
                <w:color w:val="14532D"/>
              </w:rPr>
              <w:t>Date</w:t>
            </w:r>
          </w:p>
        </w:tc>
        <w:tc>
          <w:tcPr>
            <w:tcW w:type="dxa" w:w="2493"/>
            <w:shd w:val="clear" w:color="auto" w:fill="E9F7D8"/>
          </w:tcPr>
          <w:p>
            <w:r/>
            <w:r>
              <w:rPr>
                <w:b/>
                <w:color w:val="14532D"/>
              </w:rPr>
              <w:t>What changed</w:t>
            </w:r>
          </w:p>
        </w:tc>
        <w:tc>
          <w:tcPr>
            <w:tcW w:type="dxa" w:w="2493"/>
            <w:shd w:val="clear" w:color="auto" w:fill="E9F7D8"/>
          </w:tcPr>
          <w:p>
            <w:r/>
            <w:r>
              <w:rPr>
                <w:b/>
                <w:color w:val="14532D"/>
              </w:rPr>
              <w:t>Approved by</w:t>
            </w:r>
          </w:p>
        </w:tc>
      </w:tr>
      <w:tr>
        <w:tc>
          <w:tcPr>
            <w:tcW w:type="dxa" w:w="2493"/>
          </w:tcPr>
          <w:p>
            <w:r>
              <w:t>1.0</w:t>
            </w:r>
          </w:p>
        </w:tc>
        <w:tc>
          <w:tcPr>
            <w:tcW w:type="dxa" w:w="2493"/>
          </w:tcPr>
          <w:p/>
        </w:tc>
        <w:tc>
          <w:tcPr>
            <w:tcW w:type="dxa" w:w="2493"/>
          </w:tcPr>
          <w:p>
            <w:r>
              <w:t>First issue</w:t>
            </w:r>
          </w:p>
        </w:tc>
        <w:tc>
          <w:tcPr>
            <w:tcW w:type="dxa" w:w="2493"/>
          </w:tcPr>
          <w:p/>
        </w:tc>
      </w:tr>
      <w:tr>
        <w:tc>
          <w:tcPr>
            <w:tcW w:type="dxa" w:w="2493"/>
          </w:tcPr>
          <w:p/>
        </w:tc>
        <w:tc>
          <w:tcPr>
            <w:tcW w:type="dxa" w:w="2493"/>
          </w:tcPr>
          <w:p/>
        </w:tc>
        <w:tc>
          <w:tcPr>
            <w:tcW w:type="dxa" w:w="2493"/>
          </w:tcPr>
          <w:p/>
        </w:tc>
        <w:tc>
          <w:tcPr>
            <w:tcW w:type="dxa" w:w="2493"/>
          </w:tcPr>
          <w:p/>
        </w:tc>
      </w:tr>
    </w:tbl>
    <w:p>
      <w:r>
        <w:br w:type="page"/>
      </w:r>
    </w:p>
    <w:p>
      <w:pPr>
        <w:pStyle w:val="Heading1"/>
      </w:pPr>
      <w:r>
        <w:rPr>
          <w:color w:val="14532D"/>
        </w:rPr>
        <w:t>Where warehouse SOPs go wrong</w:t>
      </w:r>
    </w:p>
    <w:p>
      <w:pPr>
        <w:pStyle w:val="Heading2"/>
      </w:pPr>
      <w:r>
        <w:rPr>
          <w:color w:val="14532D"/>
        </w:rPr>
        <w:t>Chocks are in the SOP and not on the dock</w:t>
      </w:r>
    </w:p>
    <w:p>
      <w:r>
        <w:t>Every warehouse has a wheel-chock rule. Fewer have a chock at every door, a hook to hang it on and a line on the checklist that someone initials. If the chock takes a walk to fetch, it does not get used at 2 am.</w:t>
      </w:r>
    </w:p>
    <w:p>
      <w:pPr>
        <w:pStyle w:val="Heading2"/>
      </w:pPr>
      <w:r>
        <w:rPr>
          <w:color w:val="14532D"/>
        </w:rPr>
        <w:t>Overrides are allowed</w:t>
      </w:r>
    </w:p>
    <w:p>
      <w:r>
        <w:t>A scanner that lets the picker confirm a location mismatch, or a put-away in a bay the system did not give, is a system that will be lied to a hundred times a day for good reasons. Lock the override behind the team leader's login and look at why each one happened.</w:t>
      </w:r>
    </w:p>
    <w:p>
      <w:pPr>
        <w:pStyle w:val="Heading2"/>
      </w:pPr>
      <w:r>
        <w:rPr>
          <w:color w:val="14532D"/>
        </w:rPr>
        <w:t>Rack damage is reported to maintenance and lives in a queue</w:t>
      </w:r>
    </w:p>
    <w:p>
      <w:r>
        <w:t>A bent upright found on Monday and repaired in six weeks is a bay that should have been unloaded on Monday. Separate the two actions: making it safe is the finder's job, now; the repair is maintenance's job, later.</w:t>
      </w:r>
    </w:p>
    <w:p>
      <w:pPr>
        <w:pStyle w:val="Heading2"/>
      </w:pPr>
      <w:r>
        <w:rPr>
          <w:color w:val="14532D"/>
        </w:rPr>
        <w:t>Short picks are 'fixed' from the next location</w:t>
      </w:r>
    </w:p>
    <w:p>
      <w:r>
        <w:t>The picker is being helpful. The result is two locations wrong, an order that may still be wrong, and a stock count nobody trusts. Report the short, pick what is there, move on. Replenishment is a different job.</w:t>
      </w:r>
    </w:p>
    <w:p>
      <w:pPr>
        <w:pStyle w:val="Heading2"/>
      </w:pPr>
      <w:r>
        <w:rPr>
          <w:color w:val="14532D"/>
        </w:rPr>
        <w:t>Pre-use checks are done by signing a sheet</w:t>
      </w:r>
    </w:p>
    <w:p>
      <w:r>
        <w:t>Thirty ticks in the same pen at the start of the shift. The check that works is the one where the operator has to write the hour-meter reading and one fault or "none" in words. Spot-check the sheet against the truck.</w:t>
      </w:r>
    </w:p>
    <w:p>
      <w:pPr>
        <w:pStyle w:val="Heading1"/>
      </w:pPr>
      <w:r>
        <w:rPr>
          <w:color w:val="14532D"/>
        </w:rPr>
        <w:t>Sources</w:t>
      </w:r>
    </w:p>
    <w:p>
      <w:pPr>
        <w:pStyle w:val="ListBullet"/>
      </w:pPr>
      <w:r>
        <w:t xml:space="preserve">OSHA 29 CFR 1910.178: Powered industrial trucks — </w:t>
      </w:r>
      <w:r>
        <w:rPr>
          <w:color w:val="55605A"/>
          <w:sz w:val="18"/>
        </w:rPr>
        <w:t>https://www.osha.gov/laws-regs/regulations/standardnumber/1910/1910.178</w:t>
      </w:r>
    </w:p>
    <w:p>
      <w:pPr>
        <w:pStyle w:val="ListBullet"/>
      </w:pPr>
      <w:r>
        <w:t xml:space="preserve">Rack Manufacturers Institute (RMI): ANSI MH16.1 and damage assessment guideline — </w:t>
      </w:r>
      <w:r>
        <w:rPr>
          <w:color w:val="55605A"/>
          <w:sz w:val="18"/>
        </w:rPr>
        <w:t>https://www.mhi.org/rmi</w:t>
      </w:r>
    </w:p>
    <w:p>
      <w:pPr>
        <w:pStyle w:val="ListBullet"/>
      </w:pPr>
      <w:r>
        <w:t xml:space="preserve">SEMA: racking inspection guidance (UK) — </w:t>
      </w:r>
      <w:r>
        <w:rPr>
          <w:color w:val="55605A"/>
          <w:sz w:val="18"/>
        </w:rPr>
        <w:t>https://www.sema.org.uk/</w:t>
      </w:r>
    </w:p>
    <w:p>
      <w:pPr>
        <w:pStyle w:val="ListBullet"/>
      </w:pPr>
      <w:r>
        <w:t xml:space="preserve">HSE: Workplace transport safety — </w:t>
      </w:r>
      <w:r>
        <w:rPr>
          <w:color w:val="55605A"/>
          <w:sz w:val="18"/>
        </w:rPr>
        <w:t>https://www.hse.gov.uk/workplacetransport/</w:t>
      </w:r>
    </w:p>
    <w:sectPr w:rsidR="00FC693F" w:rsidRPr="0006063C" w:rsidSect="00034616">
      <w:footerReference w:type="default" r:id="rId9"/>
      <w:pgSz w:w="12240" w:h="15840"/>
      <w:pgMar w:top="1020" w:right="1134" w:bottom="1020" w:left="1134"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55605A"/>
        <w:sz w:val="16"/>
      </w:rPr>
      <w:t>Warehouse SOP pack · Vidkiwi · vidkiwi.com/warehouse-sop/ — free to use and adapt</w:t>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rial" w:hAnsi="Arial"/>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Warehouse SOP pack</dc:title>
  <dc:subject/>
  <dc:creator>Vidkiwi</dc:creator>
  <cp:keywords/>
  <dc:description>Free warehouse SOP pack from vidkiwi.com</dc:description>
  <cp:lastModifiedBy>Vidkiwi</cp:lastModifiedBy>
  <cp:revision>1</cp:revision>
  <dcterms:created xsi:type="dcterms:W3CDTF">2013-12-23T23:15:00Z</dcterms:created>
  <dcterms:modified xsi:type="dcterms:W3CDTF">2013-12-23T23:15:00Z</dcterms:modified>
  <cp:category/>
</cp:coreProperties>
</file>